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3D" w:rsidRPr="000C3A3D" w:rsidRDefault="000C3A3D" w:rsidP="000C3A3D">
      <w:pPr>
        <w:spacing w:before="240"/>
        <w:rPr>
          <w:b/>
          <w:color w:val="7030A0"/>
          <w:sz w:val="24"/>
        </w:rPr>
      </w:pPr>
      <w:bookmarkStart w:id="0" w:name="_GoBack"/>
      <w:bookmarkEnd w:id="0"/>
      <w:r w:rsidRPr="000C3A3D">
        <w:rPr>
          <w:b/>
          <w:color w:val="7030A0"/>
          <w:sz w:val="24"/>
        </w:rPr>
        <w:t>Waste Electrical &amp; Electronic Equipment (WEEE)</w:t>
      </w:r>
    </w:p>
    <w:tbl>
      <w:tblPr>
        <w:tblStyle w:val="TableGrid"/>
        <w:tblW w:w="0" w:type="auto"/>
        <w:tblLook w:val="04A0" w:firstRow="1" w:lastRow="0" w:firstColumn="1" w:lastColumn="0" w:noHBand="0" w:noVBand="1"/>
      </w:tblPr>
      <w:tblGrid>
        <w:gridCol w:w="4375"/>
      </w:tblGrid>
      <w:tr w:rsidR="00BE5446" w:rsidTr="00AA6976">
        <w:tc>
          <w:tcPr>
            <w:tcW w:w="4375" w:type="dxa"/>
            <w:tcBorders>
              <w:top w:val="single" w:sz="4" w:space="0" w:color="7030A0"/>
              <w:left w:val="single" w:sz="4" w:space="0" w:color="7030A0"/>
              <w:bottom w:val="single" w:sz="4" w:space="0" w:color="7030A0"/>
              <w:right w:val="single" w:sz="4" w:space="0" w:color="7030A0"/>
            </w:tcBorders>
            <w:shd w:val="clear" w:color="auto" w:fill="E5DFEC" w:themeFill="accent4" w:themeFillTint="33"/>
          </w:tcPr>
          <w:p w:rsidR="00BE5446" w:rsidRDefault="00BE5446" w:rsidP="00BE5446">
            <w:pPr>
              <w:rPr>
                <w:b/>
              </w:rPr>
            </w:pPr>
            <w:r>
              <w:rPr>
                <w:b/>
              </w:rPr>
              <w:t>About this sheet</w:t>
            </w:r>
          </w:p>
          <w:p w:rsidR="00BE5446" w:rsidRPr="00AA6976" w:rsidRDefault="00BE5446" w:rsidP="00BE5446">
            <w:pPr>
              <w:spacing w:before="240"/>
              <w:rPr>
                <w:i/>
              </w:rPr>
            </w:pPr>
            <w:r w:rsidRPr="00AA6976">
              <w:rPr>
                <w:i/>
              </w:rPr>
              <w:t xml:space="preserve">The Continuing Competence Free Update Sheet is designed to be used by purchasers of the Continuing Competence Revision Guides for the 2016-2018 period. </w:t>
            </w:r>
          </w:p>
          <w:p w:rsidR="00BE5446" w:rsidRPr="00AA6976" w:rsidRDefault="00BE5446" w:rsidP="00BE5446">
            <w:pPr>
              <w:rPr>
                <w:i/>
              </w:rPr>
            </w:pPr>
          </w:p>
          <w:p w:rsidR="00BE5446" w:rsidRPr="00AA6976" w:rsidRDefault="00BE5446" w:rsidP="00BE5446">
            <w:pPr>
              <w:rPr>
                <w:i/>
              </w:rPr>
            </w:pPr>
            <w:r w:rsidRPr="00AA6976">
              <w:rPr>
                <w:i/>
              </w:rPr>
              <w:t>It will highlight any changes in technical guidance and sources used as a basis for the Continuing Competence question bank to support the revision of users.</w:t>
            </w:r>
          </w:p>
          <w:p w:rsidR="00BE5446" w:rsidRDefault="00BE5446" w:rsidP="00BE5446"/>
        </w:tc>
      </w:tr>
    </w:tbl>
    <w:p w:rsidR="000C3A3D" w:rsidRPr="000C3A3D" w:rsidRDefault="000C3A3D" w:rsidP="000C3A3D">
      <w:pPr>
        <w:spacing w:after="0"/>
        <w:rPr>
          <w:b/>
          <w:sz w:val="10"/>
        </w:rPr>
      </w:pPr>
    </w:p>
    <w:p w:rsidR="00BE5446" w:rsidRDefault="00F02619" w:rsidP="000C3A3D">
      <w:pPr>
        <w:rPr>
          <w:b/>
        </w:rPr>
      </w:pPr>
      <w:r>
        <w:rPr>
          <w:b/>
        </w:rPr>
        <w:t>Frequently Asked Questions (FAQs)</w:t>
      </w:r>
    </w:p>
    <w:p w:rsidR="00F02619" w:rsidRPr="00F02619" w:rsidRDefault="00F02619" w:rsidP="00F02619">
      <w:pPr>
        <w:rPr>
          <w:i/>
          <w:color w:val="7030A0"/>
        </w:rPr>
      </w:pPr>
      <w:r w:rsidRPr="00F02619">
        <w:rPr>
          <w:i/>
          <w:color w:val="7030A0"/>
        </w:rPr>
        <w:t>How much does the test cost?</w:t>
      </w:r>
    </w:p>
    <w:p w:rsidR="00F02619" w:rsidRDefault="00F02619" w:rsidP="00F02619">
      <w:r>
        <w:t xml:space="preserve">Each test costs </w:t>
      </w:r>
      <w:r w:rsidRPr="00964157">
        <w:rPr>
          <w:b/>
          <w:u w:val="single"/>
        </w:rPr>
        <w:t>£139</w:t>
      </w:r>
      <w:r>
        <w:t xml:space="preserve"> irrespective of the number of Activity Specific Tests chosen (a maximum of three activity specific tests can be taken at one time).</w:t>
      </w:r>
    </w:p>
    <w:p w:rsidR="00F02619" w:rsidRPr="00F02619" w:rsidRDefault="00F02619" w:rsidP="00F02619">
      <w:pPr>
        <w:rPr>
          <w:i/>
          <w:color w:val="7030A0"/>
        </w:rPr>
      </w:pPr>
      <w:r w:rsidRPr="00F02619">
        <w:rPr>
          <w:i/>
          <w:color w:val="7030A0"/>
        </w:rPr>
        <w:t>What form of personal identification can I use at the test centre?</w:t>
      </w:r>
    </w:p>
    <w:p w:rsidR="00F02619" w:rsidRDefault="00F02619" w:rsidP="00F02619">
      <w:pPr>
        <w:pStyle w:val="ListParagraph"/>
        <w:numPr>
          <w:ilvl w:val="0"/>
          <w:numId w:val="1"/>
        </w:numPr>
      </w:pPr>
      <w:r>
        <w:t>A valid signed passport of any country with your photograph and signature.</w:t>
      </w:r>
    </w:p>
    <w:p w:rsidR="00F02619" w:rsidRDefault="00F02619" w:rsidP="00F02619">
      <w:pPr>
        <w:pStyle w:val="ListParagraph"/>
        <w:numPr>
          <w:ilvl w:val="0"/>
          <w:numId w:val="1"/>
        </w:numPr>
      </w:pPr>
      <w:r>
        <w:t>A valid signed UK photo card driving licence (full or provisional).</w:t>
      </w:r>
    </w:p>
    <w:p w:rsidR="00F02619" w:rsidRDefault="00F02619" w:rsidP="00F02619">
      <w:pPr>
        <w:pStyle w:val="ListParagraph"/>
        <w:numPr>
          <w:ilvl w:val="0"/>
          <w:numId w:val="1"/>
        </w:numPr>
      </w:pPr>
      <w:r>
        <w:t>If you have none of these, you may present a Citizen’s ID Card.</w:t>
      </w:r>
    </w:p>
    <w:p w:rsidR="00F02619" w:rsidRDefault="00F02619" w:rsidP="00F02619">
      <w:pPr>
        <w:rPr>
          <w:i/>
          <w:color w:val="7030A0"/>
        </w:rPr>
      </w:pPr>
      <w:r>
        <w:rPr>
          <w:i/>
          <w:color w:val="7030A0"/>
        </w:rPr>
        <w:t>How can I find out if I have passed the test?</w:t>
      </w:r>
    </w:p>
    <w:p w:rsidR="00F02619" w:rsidRDefault="00F02619" w:rsidP="00F02619">
      <w:r>
        <w:t>At the end of the test you will receive your score report which provides the scores for each component of the Generic Knowledge Test and the score for each Activity Specific Test you have taken.</w:t>
      </w:r>
    </w:p>
    <w:p w:rsidR="00F02619" w:rsidRDefault="00F02619" w:rsidP="00F02619">
      <w:r>
        <w:t xml:space="preserve">There is an example on the back of your score report showing how to work out if you’ve passed. Alternatively, you can go to </w:t>
      </w:r>
      <w:hyperlink r:id="rId9" w:history="1">
        <w:r w:rsidRPr="00902207">
          <w:rPr>
            <w:rStyle w:val="Hyperlink"/>
          </w:rPr>
          <w:t>https://wamitab.org.uk/competence/continuing-competence/test-score-calculator/</w:t>
        </w:r>
      </w:hyperlink>
      <w:r>
        <w:t xml:space="preserve"> and type in your scores.</w:t>
      </w:r>
    </w:p>
    <w:p w:rsidR="000C3A3D" w:rsidRDefault="000C3A3D" w:rsidP="000C3A3D">
      <w:pPr>
        <w:spacing w:after="0"/>
      </w:pPr>
    </w:p>
    <w:p w:rsidR="00C6135E" w:rsidRDefault="00AE4804" w:rsidP="00C6135E">
      <w:pPr>
        <w:rPr>
          <w:b/>
        </w:rPr>
      </w:pPr>
      <w:r>
        <w:rPr>
          <w:b/>
        </w:rPr>
        <w:t xml:space="preserve">Content Changes </w:t>
      </w:r>
      <w:r w:rsidR="00DB0056">
        <w:rPr>
          <w:b/>
        </w:rPr>
        <w:t>2016-2018 Revision Guide</w:t>
      </w:r>
    </w:p>
    <w:p w:rsidR="00C6135E" w:rsidRPr="00C6135E" w:rsidRDefault="00C6135E" w:rsidP="00C6135E">
      <w:pPr>
        <w:rPr>
          <w:b/>
        </w:rPr>
      </w:pPr>
      <w:r w:rsidRPr="00C6135E">
        <w:rPr>
          <w:rFonts w:ascii="Calibri" w:eastAsia="Calibri" w:hAnsi="Calibri" w:cs="Times New Roman"/>
          <w:b/>
          <w:i/>
        </w:rPr>
        <w:t xml:space="preserve">All page numbers refer to the 2016-2018 Revision Guides with red covers. </w:t>
      </w:r>
    </w:p>
    <w:p w:rsidR="00DB0056" w:rsidRDefault="00A674E5" w:rsidP="000C3A3D">
      <w:pPr>
        <w:rPr>
          <w:i/>
          <w:color w:val="7030A0"/>
        </w:rPr>
      </w:pPr>
      <w:r>
        <w:rPr>
          <w:i/>
          <w:color w:val="7030A0"/>
        </w:rPr>
        <w:t xml:space="preserve">Section </w:t>
      </w:r>
      <w:r w:rsidR="00AE4804">
        <w:rPr>
          <w:i/>
          <w:color w:val="7030A0"/>
        </w:rPr>
        <w:t xml:space="preserve">4: </w:t>
      </w:r>
      <w:r w:rsidR="00DB0056">
        <w:rPr>
          <w:i/>
          <w:color w:val="7030A0"/>
        </w:rPr>
        <w:t>Permitting Arrangements, page 25</w:t>
      </w:r>
    </w:p>
    <w:p w:rsidR="00DB0056" w:rsidRDefault="00DB0056" w:rsidP="000C3A3D">
      <w:r>
        <w:t>The learning outcome ‘</w:t>
      </w:r>
      <w:r w:rsidR="00920CC9" w:rsidRPr="00693750">
        <w:rPr>
          <w:i/>
          <w:color w:val="7030A0"/>
        </w:rPr>
        <w:t>4.1 K</w:t>
      </w:r>
      <w:r w:rsidRPr="00693750">
        <w:rPr>
          <w:i/>
          <w:color w:val="7030A0"/>
        </w:rPr>
        <w:t>now the permitting arrangements for a facility treating WEEE’</w:t>
      </w:r>
      <w:r w:rsidRPr="00693750">
        <w:rPr>
          <w:color w:val="7030A0"/>
        </w:rPr>
        <w:t xml:space="preserve"> </w:t>
      </w:r>
      <w:r>
        <w:t>was removed from the syllabus this year.</w:t>
      </w:r>
    </w:p>
    <w:p w:rsidR="00AE4804" w:rsidRPr="00AE4804" w:rsidRDefault="00AE4804" w:rsidP="000C3A3D">
      <w:pPr>
        <w:rPr>
          <w:i/>
          <w:color w:val="7030A0"/>
        </w:rPr>
      </w:pPr>
      <w:r>
        <w:rPr>
          <w:i/>
          <w:color w:val="7030A0"/>
        </w:rPr>
        <w:t>Section 4: Persistent Organic Pollutants (NEW)</w:t>
      </w:r>
    </w:p>
    <w:p w:rsidR="00F02619" w:rsidRPr="00AE4804" w:rsidRDefault="00AE4804" w:rsidP="00F02619">
      <w:pPr>
        <w:spacing w:after="0"/>
      </w:pPr>
      <w:r w:rsidRPr="00AE4804">
        <w:t>The learning outcome ‘</w:t>
      </w:r>
      <w:r w:rsidR="00AF2659" w:rsidRPr="00693750">
        <w:rPr>
          <w:i/>
          <w:color w:val="7030A0"/>
        </w:rPr>
        <w:t>4.6 K</w:t>
      </w:r>
      <w:r w:rsidRPr="00693750">
        <w:rPr>
          <w:i/>
          <w:color w:val="7030A0"/>
        </w:rPr>
        <w:t>now the requirements for disposal of waste containing persistent organic pollutants (POPs) such as flame retarded plastic’</w:t>
      </w:r>
      <w:r w:rsidRPr="00693750">
        <w:rPr>
          <w:color w:val="7030A0"/>
        </w:rPr>
        <w:t xml:space="preserve"> </w:t>
      </w:r>
      <w:r w:rsidRPr="00AE4804">
        <w:t>was added to the syllabus this year.</w:t>
      </w:r>
    </w:p>
    <w:p w:rsidR="00AE4804" w:rsidRPr="00AE4804" w:rsidRDefault="00AE4804" w:rsidP="00F02619">
      <w:pPr>
        <w:spacing w:after="0"/>
      </w:pPr>
    </w:p>
    <w:p w:rsidR="00AE4804" w:rsidRPr="00AE4804" w:rsidRDefault="00AE4804" w:rsidP="00AE4804">
      <w:r w:rsidRPr="00AE4804">
        <w:t>Persistent organic pollutants are organic compounds that are resistant to environmental degradation and can therefore accumulate having a negative impact on human health and/or the environment. Before waste can be disposed of, you need to know if it contains POPs. You can do this by:</w:t>
      </w:r>
    </w:p>
    <w:p w:rsidR="00AE4804" w:rsidRPr="00AE4804" w:rsidRDefault="00AE4804" w:rsidP="00AE4804">
      <w:pPr>
        <w:pStyle w:val="ListParagraph"/>
        <w:numPr>
          <w:ilvl w:val="0"/>
          <w:numId w:val="3"/>
        </w:numPr>
      </w:pPr>
      <w:r w:rsidRPr="00AE4804">
        <w:t>Asking the suppliers or manufacturers of the material.</w:t>
      </w:r>
    </w:p>
    <w:p w:rsidR="00AE4804" w:rsidRPr="00AE4804" w:rsidRDefault="00AE4804" w:rsidP="00AE4804">
      <w:pPr>
        <w:pStyle w:val="ListParagraph"/>
        <w:numPr>
          <w:ilvl w:val="0"/>
          <w:numId w:val="3"/>
        </w:numPr>
      </w:pPr>
      <w:r w:rsidRPr="00AE4804">
        <w:t>Testing the material yourself to find out the concentrations of any POPs.</w:t>
      </w:r>
    </w:p>
    <w:p w:rsidR="00AE4804" w:rsidRPr="00AE4804" w:rsidRDefault="00AE4804" w:rsidP="00AE4804">
      <w:pPr>
        <w:pStyle w:val="ListParagraph"/>
        <w:numPr>
          <w:ilvl w:val="0"/>
          <w:numId w:val="3"/>
        </w:numPr>
      </w:pPr>
      <w:r w:rsidRPr="00AE4804">
        <w:t>Getting the material analysed by a laboratory.</w:t>
      </w:r>
    </w:p>
    <w:p w:rsidR="00AE4804" w:rsidRPr="00AE4804" w:rsidRDefault="00AE4804" w:rsidP="00AE4804">
      <w:r w:rsidRPr="00AE4804">
        <w:t>Waste that contains POPs can be sent to a disposal site capable of completely destroying POPs or irreversibly transforming them using one of the following methods:</w:t>
      </w:r>
    </w:p>
    <w:p w:rsidR="00AE4804" w:rsidRPr="00AE4804" w:rsidRDefault="00AE4804" w:rsidP="00AE4804">
      <w:pPr>
        <w:pStyle w:val="ListParagraph"/>
        <w:numPr>
          <w:ilvl w:val="0"/>
          <w:numId w:val="2"/>
        </w:numPr>
      </w:pPr>
      <w:proofErr w:type="spellStart"/>
      <w:r w:rsidRPr="00AE4804">
        <w:t>Physico</w:t>
      </w:r>
      <w:proofErr w:type="spellEnd"/>
      <w:r w:rsidRPr="00AE4804">
        <w:t>-chemical treatment.</w:t>
      </w:r>
    </w:p>
    <w:p w:rsidR="00AE4804" w:rsidRPr="00AE4804" w:rsidRDefault="00AE4804" w:rsidP="00AE4804">
      <w:pPr>
        <w:pStyle w:val="ListParagraph"/>
        <w:numPr>
          <w:ilvl w:val="0"/>
          <w:numId w:val="2"/>
        </w:numPr>
      </w:pPr>
      <w:r w:rsidRPr="00AE4804">
        <w:t>Incineration on land.</w:t>
      </w:r>
    </w:p>
    <w:p w:rsidR="00AE4804" w:rsidRPr="00AE4804" w:rsidRDefault="00AE4804" w:rsidP="00AE4804">
      <w:pPr>
        <w:pStyle w:val="ListParagraph"/>
        <w:numPr>
          <w:ilvl w:val="0"/>
          <w:numId w:val="2"/>
        </w:numPr>
      </w:pPr>
      <w:r w:rsidRPr="00AE4804">
        <w:t>Using the waste as a fuel or other means to generate energy.</w:t>
      </w:r>
    </w:p>
    <w:p w:rsidR="00AE4804" w:rsidRPr="00AE4804" w:rsidRDefault="00AE4804" w:rsidP="00AE4804">
      <w:r w:rsidRPr="00AE4804">
        <w:t>For more information visit:</w:t>
      </w:r>
    </w:p>
    <w:p w:rsidR="00AE4804" w:rsidRPr="00AE4804" w:rsidRDefault="002D7446" w:rsidP="00AE4804">
      <w:pPr>
        <w:pStyle w:val="ListParagraph"/>
        <w:numPr>
          <w:ilvl w:val="0"/>
          <w:numId w:val="4"/>
        </w:numPr>
        <w:spacing w:after="0" w:line="240" w:lineRule="auto"/>
        <w:rPr>
          <w:rFonts w:ascii="Calibri" w:hAnsi="Calibri"/>
        </w:rPr>
      </w:pPr>
      <w:hyperlink r:id="rId10" w:history="1">
        <w:r w:rsidR="00AE4804" w:rsidRPr="00AE4804">
          <w:rPr>
            <w:rStyle w:val="Hyperlink"/>
            <w:rFonts w:ascii="Calibri" w:hAnsi="Calibri"/>
          </w:rPr>
          <w:t>GOV.UK - Dispose of waste containing persistent organic pollutants (POPs)</w:t>
        </w:r>
      </w:hyperlink>
    </w:p>
    <w:p w:rsidR="00AE4804" w:rsidRPr="00AE4804" w:rsidRDefault="002D7446" w:rsidP="00AE4804">
      <w:pPr>
        <w:pStyle w:val="ListParagraph"/>
        <w:numPr>
          <w:ilvl w:val="0"/>
          <w:numId w:val="4"/>
        </w:numPr>
        <w:spacing w:after="0" w:line="240" w:lineRule="auto"/>
        <w:rPr>
          <w:rFonts w:ascii="Calibri" w:hAnsi="Calibri"/>
        </w:rPr>
      </w:pPr>
      <w:hyperlink r:id="rId11" w:history="1">
        <w:r w:rsidR="00AE4804" w:rsidRPr="00AE4804">
          <w:rPr>
            <w:rStyle w:val="Hyperlink"/>
            <w:lang w:val="en-US"/>
          </w:rPr>
          <w:t>NRW - Permits and permissions WEEE</w:t>
        </w:r>
      </w:hyperlink>
    </w:p>
    <w:p w:rsidR="00A674E5" w:rsidRDefault="00A674E5" w:rsidP="00A674E5">
      <w:pPr>
        <w:spacing w:before="240"/>
        <w:rPr>
          <w:i/>
          <w:color w:val="7030A0"/>
        </w:rPr>
      </w:pPr>
      <w:r>
        <w:rPr>
          <w:i/>
          <w:color w:val="7030A0"/>
        </w:rPr>
        <w:t>Section 5: Items, page 31</w:t>
      </w:r>
    </w:p>
    <w:p w:rsidR="00A674E5" w:rsidRDefault="00A674E5" w:rsidP="00A674E5">
      <w:pPr>
        <w:spacing w:after="0"/>
      </w:pPr>
      <w:r>
        <w:t>The learning outcome ‘</w:t>
      </w:r>
      <w:r w:rsidR="00780557" w:rsidRPr="00693750">
        <w:rPr>
          <w:i/>
          <w:color w:val="7030A0"/>
        </w:rPr>
        <w:t>5.1 K</w:t>
      </w:r>
      <w:r w:rsidR="00693750">
        <w:rPr>
          <w:i/>
          <w:color w:val="7030A0"/>
        </w:rPr>
        <w:t>now</w:t>
      </w:r>
      <w:r w:rsidRPr="00693750">
        <w:rPr>
          <w:i/>
          <w:color w:val="7030A0"/>
        </w:rPr>
        <w:t xml:space="preserve"> the items which can be separated for reuse’</w:t>
      </w:r>
      <w:r>
        <w:t>.</w:t>
      </w:r>
    </w:p>
    <w:p w:rsidR="00A674E5" w:rsidRDefault="00A674E5" w:rsidP="00A674E5">
      <w:pPr>
        <w:spacing w:after="0"/>
      </w:pPr>
    </w:p>
    <w:tbl>
      <w:tblPr>
        <w:tblStyle w:val="TableGrid"/>
        <w:tblW w:w="0" w:type="auto"/>
        <w:tblLook w:val="04A0" w:firstRow="1" w:lastRow="0" w:firstColumn="1" w:lastColumn="0" w:noHBand="0" w:noVBand="1"/>
      </w:tblPr>
      <w:tblGrid>
        <w:gridCol w:w="1809"/>
        <w:gridCol w:w="2566"/>
      </w:tblGrid>
      <w:tr w:rsidR="00A674E5" w:rsidTr="00A674E5">
        <w:tc>
          <w:tcPr>
            <w:tcW w:w="1809" w:type="dxa"/>
            <w:shd w:val="clear" w:color="auto" w:fill="7030A0"/>
          </w:tcPr>
          <w:p w:rsidR="00A674E5" w:rsidRPr="00A674E5" w:rsidRDefault="00A674E5" w:rsidP="00A674E5">
            <w:pPr>
              <w:rPr>
                <w:b/>
                <w:color w:val="FFFFFF" w:themeColor="background1"/>
              </w:rPr>
            </w:pPr>
            <w:r w:rsidRPr="00A674E5">
              <w:rPr>
                <w:b/>
                <w:color w:val="FFFFFF" w:themeColor="background1"/>
              </w:rPr>
              <w:t>Item</w:t>
            </w:r>
          </w:p>
        </w:tc>
        <w:tc>
          <w:tcPr>
            <w:tcW w:w="2566" w:type="dxa"/>
            <w:shd w:val="clear" w:color="auto" w:fill="7030A0"/>
          </w:tcPr>
          <w:p w:rsidR="00A674E5" w:rsidRPr="00A674E5" w:rsidRDefault="00A674E5" w:rsidP="00A674E5">
            <w:pPr>
              <w:rPr>
                <w:b/>
                <w:color w:val="FFFFFF" w:themeColor="background1"/>
              </w:rPr>
            </w:pPr>
            <w:r w:rsidRPr="00A674E5">
              <w:rPr>
                <w:b/>
                <w:color w:val="FFFFFF" w:themeColor="background1"/>
              </w:rPr>
              <w:t>Example Reuse Criteria</w:t>
            </w:r>
          </w:p>
        </w:tc>
      </w:tr>
      <w:tr w:rsidR="00A674E5" w:rsidTr="00A674E5">
        <w:tc>
          <w:tcPr>
            <w:tcW w:w="1809" w:type="dxa"/>
          </w:tcPr>
          <w:p w:rsidR="00A674E5" w:rsidRDefault="00A674E5" w:rsidP="00A674E5">
            <w:r>
              <w:t>Refrigeration</w:t>
            </w:r>
          </w:p>
        </w:tc>
        <w:tc>
          <w:tcPr>
            <w:tcW w:w="2566" w:type="dxa"/>
          </w:tcPr>
          <w:p w:rsidR="00A674E5" w:rsidRDefault="00A674E5" w:rsidP="00A674E5">
            <w:r>
              <w:t>No CFC refrigerant.</w:t>
            </w:r>
          </w:p>
          <w:p w:rsidR="00A674E5" w:rsidRDefault="00A674E5" w:rsidP="00A674E5">
            <w:r>
              <w:t>No faded appliance.</w:t>
            </w:r>
          </w:p>
          <w:p w:rsidR="00A674E5" w:rsidRDefault="00A674E5" w:rsidP="00A674E5">
            <w:r>
              <w:t>No warped appliance.</w:t>
            </w:r>
          </w:p>
          <w:p w:rsidR="00A674E5" w:rsidRPr="00420717" w:rsidRDefault="00A674E5" w:rsidP="00A674E5">
            <w:r>
              <w:t>No severe front damage and maximum of ‘x’ missing internal trays or bins.</w:t>
            </w:r>
          </w:p>
        </w:tc>
      </w:tr>
      <w:tr w:rsidR="00A674E5" w:rsidTr="00A674E5">
        <w:tc>
          <w:tcPr>
            <w:tcW w:w="1809" w:type="dxa"/>
          </w:tcPr>
          <w:p w:rsidR="00A674E5" w:rsidRDefault="00A674E5" w:rsidP="00A674E5">
            <w:r>
              <w:t>Cookers</w:t>
            </w:r>
          </w:p>
        </w:tc>
        <w:tc>
          <w:tcPr>
            <w:tcW w:w="2566" w:type="dxa"/>
          </w:tcPr>
          <w:p w:rsidR="00A674E5" w:rsidRPr="00420717" w:rsidRDefault="00A674E5" w:rsidP="00A674E5">
            <w:r w:rsidRPr="00420717">
              <w:t>No gas appliances</w:t>
            </w:r>
            <w:r>
              <w:t>.</w:t>
            </w:r>
          </w:p>
          <w:p w:rsidR="00A674E5" w:rsidRPr="00420717" w:rsidRDefault="00A674E5" w:rsidP="00A674E5">
            <w:r w:rsidRPr="00420717">
              <w:t>No smashed ceramic hobs</w:t>
            </w:r>
            <w:r>
              <w:t>.</w:t>
            </w:r>
          </w:p>
          <w:p w:rsidR="00A674E5" w:rsidRDefault="00A674E5" w:rsidP="00A674E5">
            <w:r w:rsidRPr="00420717">
              <w:t>Minimal front damage</w:t>
            </w:r>
            <w:r>
              <w:t>.</w:t>
            </w:r>
          </w:p>
          <w:p w:rsidR="00A674E5" w:rsidRDefault="00A674E5" w:rsidP="00A674E5">
            <w:r>
              <w:t>No warped appliances.</w:t>
            </w:r>
          </w:p>
          <w:p w:rsidR="00A674E5" w:rsidRPr="00420717" w:rsidRDefault="00A674E5" w:rsidP="00A674E5">
            <w:r>
              <w:t>No smashed door glass.</w:t>
            </w:r>
          </w:p>
        </w:tc>
      </w:tr>
      <w:tr w:rsidR="00A674E5" w:rsidTr="00A674E5">
        <w:tc>
          <w:tcPr>
            <w:tcW w:w="1809" w:type="dxa"/>
          </w:tcPr>
          <w:p w:rsidR="00A674E5" w:rsidRDefault="00A674E5" w:rsidP="00A674E5">
            <w:r>
              <w:t>Washing machine /washer dryer</w:t>
            </w:r>
          </w:p>
        </w:tc>
        <w:tc>
          <w:tcPr>
            <w:tcW w:w="2566" w:type="dxa"/>
          </w:tcPr>
          <w:p w:rsidR="00A674E5" w:rsidRDefault="00A674E5" w:rsidP="00A674E5">
            <w:r>
              <w:t>Minimal front damage.</w:t>
            </w:r>
          </w:p>
          <w:p w:rsidR="00A674E5" w:rsidRPr="00420717" w:rsidRDefault="00A674E5" w:rsidP="00A674E5">
            <w:r>
              <w:t>Specific models only.</w:t>
            </w:r>
          </w:p>
        </w:tc>
      </w:tr>
      <w:tr w:rsidR="00A674E5" w:rsidTr="00A674E5">
        <w:tc>
          <w:tcPr>
            <w:tcW w:w="1809" w:type="dxa"/>
          </w:tcPr>
          <w:p w:rsidR="00A674E5" w:rsidRDefault="00A674E5" w:rsidP="00A674E5">
            <w:r>
              <w:t>Tumble dryers</w:t>
            </w:r>
          </w:p>
        </w:tc>
        <w:tc>
          <w:tcPr>
            <w:tcW w:w="2566" w:type="dxa"/>
          </w:tcPr>
          <w:p w:rsidR="00A674E5" w:rsidRDefault="00A674E5" w:rsidP="00A674E5">
            <w:r>
              <w:t xml:space="preserve">Minimal front damage. </w:t>
            </w:r>
          </w:p>
          <w:p w:rsidR="00A674E5" w:rsidRDefault="00A674E5" w:rsidP="00A674E5">
            <w:r>
              <w:t>No warped appliances.</w:t>
            </w:r>
          </w:p>
          <w:p w:rsidR="00A674E5" w:rsidRDefault="00A674E5" w:rsidP="00A674E5">
            <w:r>
              <w:t>No compact ones.</w:t>
            </w:r>
          </w:p>
        </w:tc>
      </w:tr>
      <w:tr w:rsidR="00A674E5" w:rsidTr="00A674E5">
        <w:tc>
          <w:tcPr>
            <w:tcW w:w="1809" w:type="dxa"/>
          </w:tcPr>
          <w:p w:rsidR="00A674E5" w:rsidRDefault="00A674E5" w:rsidP="00A674E5">
            <w:r>
              <w:t>Dishwasher</w:t>
            </w:r>
          </w:p>
        </w:tc>
        <w:tc>
          <w:tcPr>
            <w:tcW w:w="2566" w:type="dxa"/>
          </w:tcPr>
          <w:p w:rsidR="00A674E5" w:rsidRDefault="00A674E5" w:rsidP="00A674E5">
            <w:r>
              <w:t>Minimal front damage.</w:t>
            </w:r>
          </w:p>
          <w:p w:rsidR="00A674E5" w:rsidRDefault="00A674E5" w:rsidP="00A674E5">
            <w:r>
              <w:t>No warped appliances.</w:t>
            </w:r>
          </w:p>
          <w:p w:rsidR="00A674E5" w:rsidRDefault="00A674E5" w:rsidP="00A674E5">
            <w:r>
              <w:t>Must contain all trays.</w:t>
            </w:r>
          </w:p>
          <w:p w:rsidR="00A674E5" w:rsidRPr="00420717" w:rsidRDefault="00A674E5" w:rsidP="00A674E5">
            <w:r>
              <w:t>Door catch must work.</w:t>
            </w:r>
          </w:p>
        </w:tc>
      </w:tr>
    </w:tbl>
    <w:p w:rsidR="00A674E5" w:rsidRPr="00A674E5" w:rsidRDefault="00A674E5" w:rsidP="00A674E5">
      <w:pPr>
        <w:rPr>
          <w:i/>
        </w:rPr>
      </w:pPr>
      <w:r w:rsidRPr="00A674E5">
        <w:rPr>
          <w:b/>
          <w:i/>
        </w:rPr>
        <w:t xml:space="preserve">Source: </w:t>
      </w:r>
      <w:hyperlink r:id="rId12" w:history="1">
        <w:r w:rsidRPr="00A674E5">
          <w:rPr>
            <w:rStyle w:val="Hyperlink"/>
            <w:i/>
          </w:rPr>
          <w:t>WRAP - Treatment for Reuse</w:t>
        </w:r>
      </w:hyperlink>
    </w:p>
    <w:p w:rsidR="00A674E5" w:rsidRDefault="00A674E5" w:rsidP="00A674E5"/>
    <w:p w:rsidR="00C02BF3" w:rsidRDefault="00AA6976" w:rsidP="00A674E5">
      <w:r>
        <w:rPr>
          <w:i/>
          <w:noProof/>
          <w:color w:val="7030A0"/>
          <w:lang w:eastAsia="en-GB"/>
        </w:rPr>
        <w:drawing>
          <wp:anchor distT="0" distB="0" distL="114300" distR="114300" simplePos="0" relativeHeight="251658240" behindDoc="0" locked="0" layoutInCell="1" allowOverlap="1" wp14:anchorId="57C68FA6" wp14:editId="7781C63E">
            <wp:simplePos x="0" y="0"/>
            <wp:positionH relativeFrom="column">
              <wp:posOffset>-450850</wp:posOffset>
            </wp:positionH>
            <wp:positionV relativeFrom="paragraph">
              <wp:posOffset>54610</wp:posOffset>
            </wp:positionV>
            <wp:extent cx="3002915" cy="2552065"/>
            <wp:effectExtent l="361950" t="304800" r="445135" b="3244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2915" cy="255206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C02BF3" w:rsidRDefault="00C02BF3" w:rsidP="00A674E5"/>
    <w:p w:rsidR="00C02BF3" w:rsidRDefault="00C02BF3" w:rsidP="00A674E5"/>
    <w:p w:rsidR="00C02BF3" w:rsidRDefault="00C02BF3" w:rsidP="00A674E5"/>
    <w:p w:rsidR="00C02BF3" w:rsidRDefault="00C02BF3" w:rsidP="00A674E5"/>
    <w:p w:rsidR="00C02BF3" w:rsidRDefault="00C02BF3" w:rsidP="00A674E5"/>
    <w:p w:rsidR="00C02BF3" w:rsidRDefault="00C02BF3" w:rsidP="00A674E5"/>
    <w:p w:rsidR="00C02BF3" w:rsidRDefault="00C02BF3" w:rsidP="00A674E5"/>
    <w:p w:rsidR="00C02BF3" w:rsidRPr="00C02BF3" w:rsidRDefault="00C02BF3" w:rsidP="00C02BF3">
      <w:pPr>
        <w:rPr>
          <w:i/>
          <w:color w:val="7030A0"/>
        </w:rPr>
      </w:pPr>
      <w:r>
        <w:rPr>
          <w:i/>
          <w:color w:val="7030A0"/>
        </w:rPr>
        <w:lastRenderedPageBreak/>
        <w:t>Revised List of Sources</w:t>
      </w:r>
    </w:p>
    <w:tbl>
      <w:tblPr>
        <w:tblStyle w:val="TableGrid"/>
        <w:tblW w:w="4984" w:type="pct"/>
        <w:tblLook w:val="04A0" w:firstRow="1" w:lastRow="0" w:firstColumn="1" w:lastColumn="0" w:noHBand="0" w:noVBand="1"/>
      </w:tblPr>
      <w:tblGrid>
        <w:gridCol w:w="1101"/>
        <w:gridCol w:w="3260"/>
      </w:tblGrid>
      <w:tr w:rsidR="00C02BF3" w:rsidRPr="00903C2D" w:rsidTr="0069215B">
        <w:tc>
          <w:tcPr>
            <w:tcW w:w="1262" w:type="pct"/>
            <w:shd w:val="clear" w:color="auto" w:fill="7030A0"/>
          </w:tcPr>
          <w:p w:rsidR="00C02BF3" w:rsidRPr="00C02BF3" w:rsidRDefault="00C02BF3" w:rsidP="00C02BF3">
            <w:pPr>
              <w:rPr>
                <w:b/>
                <w:color w:val="FFFFFF" w:themeColor="background1"/>
              </w:rPr>
            </w:pPr>
            <w:r w:rsidRPr="00C02BF3">
              <w:rPr>
                <w:b/>
                <w:color w:val="FFFFFF" w:themeColor="background1"/>
              </w:rPr>
              <w:t>Page</w:t>
            </w:r>
          </w:p>
        </w:tc>
        <w:tc>
          <w:tcPr>
            <w:tcW w:w="3738" w:type="pct"/>
            <w:shd w:val="clear" w:color="auto" w:fill="7030A0"/>
          </w:tcPr>
          <w:p w:rsidR="00C02BF3" w:rsidRPr="00C02BF3" w:rsidRDefault="00C02BF3" w:rsidP="00C02BF3">
            <w:pPr>
              <w:rPr>
                <w:b/>
                <w:color w:val="FFFFFF" w:themeColor="background1"/>
              </w:rPr>
            </w:pPr>
            <w:r w:rsidRPr="00C02BF3">
              <w:rPr>
                <w:b/>
                <w:color w:val="FFFFFF" w:themeColor="background1"/>
              </w:rPr>
              <w:t>Source</w:t>
            </w:r>
          </w:p>
        </w:tc>
      </w:tr>
      <w:tr w:rsidR="00C02BF3" w:rsidRPr="00903C2D" w:rsidTr="0069215B">
        <w:tc>
          <w:tcPr>
            <w:tcW w:w="1262" w:type="pct"/>
          </w:tcPr>
          <w:p w:rsidR="00C02BF3" w:rsidRPr="00C02BF3" w:rsidRDefault="00C02BF3" w:rsidP="0016143C">
            <w:pPr>
              <w:spacing w:after="120"/>
            </w:pPr>
            <w:r w:rsidRPr="00C02BF3">
              <w:t>25</w:t>
            </w:r>
          </w:p>
        </w:tc>
        <w:tc>
          <w:tcPr>
            <w:tcW w:w="3738" w:type="pct"/>
          </w:tcPr>
          <w:p w:rsidR="00C02BF3" w:rsidRPr="00C02BF3" w:rsidRDefault="002D7446" w:rsidP="0016143C">
            <w:pPr>
              <w:rPr>
                <w:color w:val="0000FF" w:themeColor="hyperlink"/>
                <w:u w:val="single"/>
              </w:rPr>
            </w:pPr>
            <w:hyperlink r:id="rId14" w:history="1">
              <w:r w:rsidR="00C02BF3" w:rsidRPr="00903C2D">
                <w:rPr>
                  <w:rStyle w:val="Hyperlink"/>
                </w:rPr>
                <w:t>BIS - WEEE Regulations 2013: Government Guidance Notes</w:t>
              </w:r>
              <w:r w:rsidR="00C02BF3">
                <w:rPr>
                  <w:rStyle w:val="Hyperlink"/>
                </w:rPr>
                <w:t xml:space="preserve"> </w:t>
              </w:r>
              <w:r w:rsidR="00C02BF3" w:rsidRPr="00903C2D">
                <w:rPr>
                  <w:rStyle w:val="Hyperlink"/>
                </w:rPr>
                <w:t>(March 2014)</w:t>
              </w:r>
            </w:hyperlink>
          </w:p>
        </w:tc>
      </w:tr>
      <w:tr w:rsidR="00C02BF3" w:rsidRPr="00903C2D" w:rsidTr="0069215B">
        <w:tc>
          <w:tcPr>
            <w:tcW w:w="1262" w:type="pct"/>
          </w:tcPr>
          <w:p w:rsidR="00C02BF3" w:rsidRPr="00AA6976" w:rsidRDefault="00C02BF3" w:rsidP="0069215B">
            <w:pPr>
              <w:spacing w:after="120"/>
            </w:pPr>
            <w:r w:rsidRPr="00AA6976">
              <w:t>13, 14, 15, 18, 25, 2</w:t>
            </w:r>
            <w:r w:rsidR="0069215B" w:rsidRPr="00AA6976">
              <w:t>7</w:t>
            </w:r>
          </w:p>
        </w:tc>
        <w:tc>
          <w:tcPr>
            <w:tcW w:w="3738" w:type="pct"/>
          </w:tcPr>
          <w:p w:rsidR="00C02BF3" w:rsidRPr="00903C2D" w:rsidRDefault="002D7446" w:rsidP="0016143C">
            <w:hyperlink r:id="rId15" w:history="1">
              <w:proofErr w:type="spellStart"/>
              <w:r w:rsidR="00C02BF3" w:rsidRPr="00903C2D">
                <w:rPr>
                  <w:rStyle w:val="Hyperlink"/>
                </w:rPr>
                <w:t>Defra</w:t>
              </w:r>
              <w:proofErr w:type="spellEnd"/>
              <w:r w:rsidR="00C02BF3" w:rsidRPr="00903C2D">
                <w:rPr>
                  <w:rStyle w:val="Hyperlink"/>
                </w:rPr>
                <w:t xml:space="preserve"> - Guidance on Best Available Treatment Recovery and Recycling Techniques (BATRRT) and treatment of Waste Electrical and Electronic Equipment (WEEE)</w:t>
              </w:r>
            </w:hyperlink>
          </w:p>
        </w:tc>
      </w:tr>
      <w:tr w:rsidR="00C02BF3" w:rsidRPr="00903C2D" w:rsidTr="0069215B">
        <w:tc>
          <w:tcPr>
            <w:tcW w:w="1262" w:type="pct"/>
          </w:tcPr>
          <w:p w:rsidR="00C02BF3" w:rsidRPr="00AA6976" w:rsidRDefault="00C02BF3" w:rsidP="0016143C">
            <w:pPr>
              <w:spacing w:after="120"/>
            </w:pPr>
            <w:r w:rsidRPr="00AA6976">
              <w:t>22</w:t>
            </w:r>
          </w:p>
        </w:tc>
        <w:tc>
          <w:tcPr>
            <w:tcW w:w="3738" w:type="pct"/>
          </w:tcPr>
          <w:p w:rsidR="00C02BF3" w:rsidRPr="00903C2D" w:rsidRDefault="002D7446" w:rsidP="0016143C">
            <w:hyperlink r:id="rId16" w:history="1">
              <w:r w:rsidR="00C02BF3" w:rsidRPr="00C02BF3">
                <w:rPr>
                  <w:rStyle w:val="Hyperlink"/>
                </w:rPr>
                <w:t>Environment Agency Guidance - HWR05: Record Keeping</w:t>
              </w:r>
            </w:hyperlink>
          </w:p>
        </w:tc>
      </w:tr>
      <w:tr w:rsidR="00C02BF3" w:rsidRPr="00903C2D" w:rsidTr="0069215B">
        <w:tc>
          <w:tcPr>
            <w:tcW w:w="1262" w:type="pct"/>
          </w:tcPr>
          <w:p w:rsidR="00C02BF3" w:rsidRPr="00AA6976" w:rsidRDefault="00C02BF3" w:rsidP="0016143C">
            <w:pPr>
              <w:spacing w:after="120"/>
            </w:pPr>
            <w:r w:rsidRPr="00AA6976">
              <w:t>22</w:t>
            </w:r>
          </w:p>
        </w:tc>
        <w:tc>
          <w:tcPr>
            <w:tcW w:w="3738" w:type="pct"/>
          </w:tcPr>
          <w:p w:rsidR="00C02BF3" w:rsidRPr="00C02BF3" w:rsidRDefault="002D7446" w:rsidP="0016143C">
            <w:pPr>
              <w:rPr>
                <w:color w:val="0000FF" w:themeColor="hyperlink"/>
                <w:u w:val="single"/>
              </w:rPr>
            </w:pPr>
            <w:hyperlink r:id="rId17" w:history="1">
              <w:r w:rsidR="00C02BF3" w:rsidRPr="00F2248A">
                <w:rPr>
                  <w:rStyle w:val="Hyperlink"/>
                </w:rPr>
                <w:t>GOV.UK - WM3 v1.1 Technical Guidance and List of Wastes</w:t>
              </w:r>
            </w:hyperlink>
          </w:p>
        </w:tc>
      </w:tr>
      <w:tr w:rsidR="00C02BF3" w:rsidRPr="00903C2D" w:rsidTr="0069215B">
        <w:tc>
          <w:tcPr>
            <w:tcW w:w="1262" w:type="pct"/>
          </w:tcPr>
          <w:p w:rsidR="00C02BF3" w:rsidRPr="00AA6976" w:rsidRDefault="00C02BF3" w:rsidP="0016143C">
            <w:pPr>
              <w:spacing w:after="120"/>
            </w:pPr>
            <w:r w:rsidRPr="00AA6976">
              <w:t>31</w:t>
            </w:r>
          </w:p>
        </w:tc>
        <w:tc>
          <w:tcPr>
            <w:tcW w:w="3738" w:type="pct"/>
          </w:tcPr>
          <w:p w:rsidR="00C02BF3" w:rsidRPr="00C02BF3" w:rsidRDefault="002D7446" w:rsidP="0016143C">
            <w:pPr>
              <w:rPr>
                <w:color w:val="0000FF" w:themeColor="hyperlink"/>
                <w:u w:val="single"/>
              </w:rPr>
            </w:pPr>
            <w:hyperlink r:id="rId18" w:history="1">
              <w:r w:rsidR="00C02BF3" w:rsidRPr="00903C2D">
                <w:rPr>
                  <w:rStyle w:val="Hyperlink"/>
                </w:rPr>
                <w:t>Environment Agency - WEEE: reuse and treatment</w:t>
              </w:r>
            </w:hyperlink>
          </w:p>
        </w:tc>
      </w:tr>
      <w:tr w:rsidR="00C02BF3" w:rsidRPr="00903C2D" w:rsidTr="0069215B">
        <w:tc>
          <w:tcPr>
            <w:tcW w:w="1262" w:type="pct"/>
          </w:tcPr>
          <w:p w:rsidR="00C02BF3" w:rsidRPr="00AA6976" w:rsidRDefault="00C02BF3" w:rsidP="0016143C">
            <w:pPr>
              <w:spacing w:after="120"/>
            </w:pPr>
            <w:r w:rsidRPr="00AA6976">
              <w:t>22</w:t>
            </w:r>
          </w:p>
        </w:tc>
        <w:tc>
          <w:tcPr>
            <w:tcW w:w="3738" w:type="pct"/>
          </w:tcPr>
          <w:p w:rsidR="00C02BF3" w:rsidRPr="00C02BF3" w:rsidRDefault="002D7446" w:rsidP="0016143C">
            <w:pPr>
              <w:rPr>
                <w:rFonts w:ascii="Calibri" w:hAnsi="Calibri"/>
                <w:color w:val="0000FF" w:themeColor="hyperlink"/>
                <w:u w:val="single"/>
              </w:rPr>
            </w:pPr>
            <w:hyperlink r:id="rId19" w:history="1">
              <w:r w:rsidR="00C02BF3" w:rsidRPr="00903C2D">
                <w:rPr>
                  <w:rStyle w:val="Hyperlink"/>
                  <w:rFonts w:ascii="Calibri" w:hAnsi="Calibri"/>
                </w:rPr>
                <w:t>GOV.UK - Classify Different Types of Waste</w:t>
              </w:r>
            </w:hyperlink>
          </w:p>
        </w:tc>
      </w:tr>
      <w:tr w:rsidR="00C02BF3" w:rsidRPr="00903C2D" w:rsidTr="0069215B">
        <w:tc>
          <w:tcPr>
            <w:tcW w:w="1262" w:type="pct"/>
          </w:tcPr>
          <w:p w:rsidR="00C02BF3" w:rsidRPr="00AA6976" w:rsidRDefault="0069215B" w:rsidP="0016143C">
            <w:pPr>
              <w:spacing w:after="120"/>
            </w:pPr>
            <w:r w:rsidRPr="00AA6976">
              <w:t>New page</w:t>
            </w:r>
          </w:p>
        </w:tc>
        <w:tc>
          <w:tcPr>
            <w:tcW w:w="3738" w:type="pct"/>
          </w:tcPr>
          <w:p w:rsidR="00C02BF3" w:rsidRPr="00903C2D" w:rsidRDefault="00C02BF3" w:rsidP="0016143C">
            <w:pPr>
              <w:rPr>
                <w:rStyle w:val="Hyperlink"/>
                <w:rFonts w:ascii="Calibri" w:hAnsi="Calibri"/>
              </w:rPr>
            </w:pPr>
            <w:r w:rsidRPr="00903C2D">
              <w:fldChar w:fldCharType="begin"/>
            </w:r>
            <w:r w:rsidRPr="00903C2D">
              <w:rPr>
                <w:rFonts w:ascii="Calibri" w:hAnsi="Calibri"/>
              </w:rPr>
              <w:instrText>HYPERLINK "https://www.gov.uk/guidance/dispose-of-waste-containing-persistent-organic-pollutants-pops"</w:instrText>
            </w:r>
            <w:r w:rsidRPr="00903C2D">
              <w:rPr>
                <w:rFonts w:ascii="Calibri" w:hAnsi="Calibri"/>
              </w:rPr>
              <w:fldChar w:fldCharType="separate"/>
            </w:r>
            <w:r w:rsidRPr="00903C2D">
              <w:rPr>
                <w:rStyle w:val="Hyperlink"/>
                <w:rFonts w:ascii="Calibri" w:hAnsi="Calibri"/>
              </w:rPr>
              <w:t>GOV.UK - Dispose of waste containing persistent organic pollutants (POPs)</w:t>
            </w:r>
          </w:p>
          <w:p w:rsidR="00C02BF3" w:rsidRPr="00903C2D" w:rsidRDefault="00C02BF3" w:rsidP="0016143C">
            <w:r w:rsidRPr="00903C2D">
              <w:rPr>
                <w:rFonts w:ascii="Calibri" w:hAnsi="Calibri"/>
              </w:rPr>
              <w:fldChar w:fldCharType="end"/>
            </w:r>
          </w:p>
        </w:tc>
      </w:tr>
      <w:tr w:rsidR="00C02BF3" w:rsidRPr="00903C2D" w:rsidTr="0069215B">
        <w:tc>
          <w:tcPr>
            <w:tcW w:w="1262" w:type="pct"/>
          </w:tcPr>
          <w:p w:rsidR="00C02BF3" w:rsidRPr="00AA6976" w:rsidRDefault="00C02BF3" w:rsidP="0016143C">
            <w:pPr>
              <w:spacing w:after="120"/>
            </w:pPr>
            <w:r w:rsidRPr="00AA6976">
              <w:t>22</w:t>
            </w:r>
          </w:p>
        </w:tc>
        <w:tc>
          <w:tcPr>
            <w:tcW w:w="3738" w:type="pct"/>
          </w:tcPr>
          <w:p w:rsidR="00C02BF3" w:rsidRPr="00903C2D" w:rsidRDefault="002D7446" w:rsidP="0016143C">
            <w:hyperlink r:id="rId20" w:history="1">
              <w:r w:rsidR="00C02BF3" w:rsidRPr="00903C2D">
                <w:rPr>
                  <w:rStyle w:val="Hyperlink"/>
                  <w:rFonts w:ascii="Calibri" w:hAnsi="Calibri"/>
                </w:rPr>
                <w:t>GOV.UK - Hazardous Waste</w:t>
              </w:r>
            </w:hyperlink>
          </w:p>
        </w:tc>
      </w:tr>
      <w:tr w:rsidR="00C02BF3" w:rsidRPr="00903C2D" w:rsidTr="0069215B">
        <w:tc>
          <w:tcPr>
            <w:tcW w:w="1262" w:type="pct"/>
          </w:tcPr>
          <w:p w:rsidR="00C02BF3" w:rsidRPr="00AA6976" w:rsidRDefault="00C02BF3" w:rsidP="0016143C">
            <w:pPr>
              <w:spacing w:after="120"/>
            </w:pPr>
            <w:r w:rsidRPr="00AA6976">
              <w:t>36</w:t>
            </w:r>
          </w:p>
        </w:tc>
        <w:tc>
          <w:tcPr>
            <w:tcW w:w="3738" w:type="pct"/>
          </w:tcPr>
          <w:p w:rsidR="00C02BF3" w:rsidRPr="00C02BF3" w:rsidRDefault="002D7446" w:rsidP="0016143C">
            <w:pPr>
              <w:rPr>
                <w:bCs/>
              </w:rPr>
            </w:pPr>
            <w:hyperlink r:id="rId21" w:history="1">
              <w:r w:rsidR="00C02BF3" w:rsidRPr="00903C2D">
                <w:rPr>
                  <w:rStyle w:val="Hyperlink"/>
                </w:rPr>
                <w:t>GOV.UK - Guidance on WEEE exporting</w:t>
              </w:r>
            </w:hyperlink>
          </w:p>
        </w:tc>
      </w:tr>
      <w:tr w:rsidR="00C02BF3" w:rsidRPr="00903C2D" w:rsidTr="0069215B">
        <w:tc>
          <w:tcPr>
            <w:tcW w:w="1262" w:type="pct"/>
          </w:tcPr>
          <w:p w:rsidR="00C02BF3" w:rsidRPr="00AA6976" w:rsidRDefault="00C02BF3" w:rsidP="0016143C">
            <w:pPr>
              <w:spacing w:after="120"/>
            </w:pPr>
            <w:r w:rsidRPr="00AA6976">
              <w:t>43</w:t>
            </w:r>
          </w:p>
        </w:tc>
        <w:tc>
          <w:tcPr>
            <w:tcW w:w="3738" w:type="pct"/>
          </w:tcPr>
          <w:p w:rsidR="00C02BF3" w:rsidRPr="00903C2D" w:rsidRDefault="002D7446" w:rsidP="0016143C">
            <w:hyperlink r:id="rId22" w:history="1">
              <w:r w:rsidR="00C02BF3">
                <w:rPr>
                  <w:rStyle w:val="Hyperlink"/>
                  <w:rFonts w:ascii="Calibri" w:hAnsi="Calibri" w:cs="Arial"/>
                  <w:lang w:val="en-US"/>
                </w:rPr>
                <w:t>GOV.UK - W</w:t>
              </w:r>
              <w:r w:rsidR="00C02BF3" w:rsidRPr="00903C2D">
                <w:rPr>
                  <w:rStyle w:val="Hyperlink"/>
                  <w:rFonts w:ascii="Calibri" w:hAnsi="Calibri" w:cs="Arial"/>
                  <w:lang w:val="en-US"/>
                </w:rPr>
                <w:t>aste electrical and electronic equipment (WEEE): reuse and treatment - Detailed guidance</w:t>
              </w:r>
            </w:hyperlink>
          </w:p>
        </w:tc>
      </w:tr>
      <w:tr w:rsidR="00C02BF3" w:rsidRPr="00903C2D" w:rsidTr="0069215B">
        <w:tc>
          <w:tcPr>
            <w:tcW w:w="1262" w:type="pct"/>
          </w:tcPr>
          <w:p w:rsidR="00C02BF3" w:rsidRPr="00AA6976" w:rsidRDefault="00C02BF3" w:rsidP="0016143C">
            <w:pPr>
              <w:spacing w:after="120"/>
            </w:pPr>
            <w:r w:rsidRPr="00AA6976">
              <w:t>40</w:t>
            </w:r>
          </w:p>
        </w:tc>
        <w:tc>
          <w:tcPr>
            <w:tcW w:w="3738" w:type="pct"/>
          </w:tcPr>
          <w:p w:rsidR="00C02BF3" w:rsidRPr="00903C2D" w:rsidRDefault="002D7446" w:rsidP="0016143C">
            <w:hyperlink r:id="rId23" w:history="1">
              <w:r w:rsidR="00C02BF3" w:rsidRPr="00903C2D">
                <w:rPr>
                  <w:rStyle w:val="Hyperlink"/>
                </w:rPr>
                <w:t>Health and Safety Executive - Waste Electrical and Electronic Equipment (WEEE) recycling</w:t>
              </w:r>
            </w:hyperlink>
          </w:p>
        </w:tc>
      </w:tr>
      <w:tr w:rsidR="00C02BF3" w:rsidRPr="00903C2D" w:rsidTr="0069215B">
        <w:tc>
          <w:tcPr>
            <w:tcW w:w="1262" w:type="pct"/>
          </w:tcPr>
          <w:p w:rsidR="00C02BF3" w:rsidRPr="00AA6976" w:rsidRDefault="00C02BF3" w:rsidP="0016143C">
            <w:pPr>
              <w:spacing w:after="120"/>
            </w:pPr>
            <w:r w:rsidRPr="00AA6976">
              <w:t>22</w:t>
            </w:r>
          </w:p>
        </w:tc>
        <w:tc>
          <w:tcPr>
            <w:tcW w:w="3738" w:type="pct"/>
          </w:tcPr>
          <w:p w:rsidR="00C02BF3" w:rsidRPr="00C02BF3" w:rsidRDefault="002D7446" w:rsidP="0016143C">
            <w:pPr>
              <w:rPr>
                <w:rFonts w:ascii="Calibri" w:hAnsi="Calibri"/>
                <w:color w:val="0000FF" w:themeColor="hyperlink"/>
                <w:u w:val="single"/>
              </w:rPr>
            </w:pPr>
            <w:hyperlink r:id="rId24" w:history="1">
              <w:r w:rsidR="00C02BF3" w:rsidRPr="00903C2D">
                <w:rPr>
                  <w:rStyle w:val="Hyperlink"/>
                  <w:rFonts w:ascii="Calibri" w:hAnsi="Calibri"/>
                </w:rPr>
                <w:t>NRW - How to classify waste</w:t>
              </w:r>
            </w:hyperlink>
          </w:p>
        </w:tc>
      </w:tr>
      <w:tr w:rsidR="00C02BF3" w:rsidRPr="00903C2D" w:rsidTr="0069215B">
        <w:tc>
          <w:tcPr>
            <w:tcW w:w="1262" w:type="pct"/>
          </w:tcPr>
          <w:p w:rsidR="00C02BF3" w:rsidRPr="00AA6976" w:rsidRDefault="0069215B" w:rsidP="0016143C">
            <w:pPr>
              <w:spacing w:after="120"/>
            </w:pPr>
            <w:r w:rsidRPr="00AA6976">
              <w:t>New page</w:t>
            </w:r>
            <w:r w:rsidR="00C02BF3" w:rsidRPr="00AA6976">
              <w:t>, 36</w:t>
            </w:r>
          </w:p>
        </w:tc>
        <w:tc>
          <w:tcPr>
            <w:tcW w:w="3738" w:type="pct"/>
          </w:tcPr>
          <w:p w:rsidR="00C02BF3" w:rsidRPr="00C02BF3" w:rsidRDefault="002D7446" w:rsidP="00C02BF3">
            <w:pPr>
              <w:outlineLvl w:val="0"/>
              <w:rPr>
                <w:lang w:val="en-US"/>
              </w:rPr>
            </w:pPr>
            <w:hyperlink r:id="rId25" w:history="1">
              <w:r w:rsidR="00C02BF3" w:rsidRPr="00903C2D">
                <w:rPr>
                  <w:rStyle w:val="Hyperlink"/>
                  <w:lang w:val="en-US"/>
                </w:rPr>
                <w:t>NRW - Permits and permissions WEEE</w:t>
              </w:r>
            </w:hyperlink>
          </w:p>
        </w:tc>
      </w:tr>
      <w:tr w:rsidR="00C02BF3" w:rsidRPr="00903C2D" w:rsidTr="0069215B">
        <w:tc>
          <w:tcPr>
            <w:tcW w:w="1262" w:type="pct"/>
          </w:tcPr>
          <w:p w:rsidR="00C02BF3" w:rsidRPr="00AA6976" w:rsidRDefault="00C02BF3" w:rsidP="0016143C">
            <w:pPr>
              <w:spacing w:after="120"/>
            </w:pPr>
            <w:r w:rsidRPr="00AA6976">
              <w:t>32</w:t>
            </w:r>
          </w:p>
        </w:tc>
        <w:tc>
          <w:tcPr>
            <w:tcW w:w="3738" w:type="pct"/>
          </w:tcPr>
          <w:p w:rsidR="00C02BF3" w:rsidRPr="00903C2D" w:rsidRDefault="002D7446" w:rsidP="0016143C">
            <w:hyperlink r:id="rId26" w:history="1">
              <w:r w:rsidR="00C02BF3" w:rsidRPr="00903C2D">
                <w:rPr>
                  <w:rStyle w:val="Hyperlink"/>
                </w:rPr>
                <w:t>WRAP - The benefits of PAS 141</w:t>
              </w:r>
            </w:hyperlink>
          </w:p>
        </w:tc>
      </w:tr>
      <w:tr w:rsidR="00C02BF3" w:rsidRPr="00903C2D" w:rsidTr="0069215B">
        <w:tc>
          <w:tcPr>
            <w:tcW w:w="1262" w:type="pct"/>
          </w:tcPr>
          <w:p w:rsidR="00C02BF3" w:rsidRPr="00AA6976" w:rsidRDefault="00C02BF3" w:rsidP="0016143C">
            <w:pPr>
              <w:spacing w:after="120"/>
            </w:pPr>
            <w:r w:rsidRPr="00AA6976">
              <w:t>31, 33</w:t>
            </w:r>
          </w:p>
        </w:tc>
        <w:tc>
          <w:tcPr>
            <w:tcW w:w="3738" w:type="pct"/>
          </w:tcPr>
          <w:p w:rsidR="00C02BF3" w:rsidRPr="00903C2D" w:rsidRDefault="002D7446" w:rsidP="0069215B">
            <w:hyperlink r:id="rId27" w:history="1">
              <w:r w:rsidR="00C02BF3" w:rsidRPr="00903C2D">
                <w:rPr>
                  <w:rStyle w:val="Hyperlink"/>
                  <w:bCs/>
                </w:rPr>
                <w:t>WRAP - Treatment for reuse</w:t>
              </w:r>
            </w:hyperlink>
          </w:p>
        </w:tc>
      </w:tr>
      <w:tr w:rsidR="00C02BF3" w:rsidRPr="00903C2D" w:rsidTr="0069215B">
        <w:tc>
          <w:tcPr>
            <w:tcW w:w="1262" w:type="pct"/>
          </w:tcPr>
          <w:p w:rsidR="00C02BF3" w:rsidRPr="00AA6976" w:rsidRDefault="00C02BF3" w:rsidP="0069215B">
            <w:pPr>
              <w:spacing w:after="120"/>
            </w:pPr>
            <w:r w:rsidRPr="00AA6976">
              <w:t>2</w:t>
            </w:r>
            <w:r w:rsidR="0069215B" w:rsidRPr="00AA6976">
              <w:t>8</w:t>
            </w:r>
          </w:p>
        </w:tc>
        <w:tc>
          <w:tcPr>
            <w:tcW w:w="3738" w:type="pct"/>
          </w:tcPr>
          <w:p w:rsidR="00C02BF3" w:rsidRPr="00903C2D" w:rsidRDefault="002D7446" w:rsidP="0016143C">
            <w:hyperlink r:id="rId28" w:history="1">
              <w:r w:rsidR="00C02BF3" w:rsidRPr="00903C2D">
                <w:rPr>
                  <w:rStyle w:val="Hyperlink"/>
                </w:rPr>
                <w:t>WRAP - 6.0 Treatment of WEEE</w:t>
              </w:r>
            </w:hyperlink>
          </w:p>
        </w:tc>
      </w:tr>
    </w:tbl>
    <w:p w:rsidR="00A674E5" w:rsidRPr="00A674E5" w:rsidRDefault="00C02BF3" w:rsidP="00C02BF3">
      <w:pPr>
        <w:spacing w:before="240"/>
      </w:pPr>
      <w:r w:rsidRPr="00C02BF3">
        <w:rPr>
          <w:b/>
          <w:i/>
        </w:rPr>
        <w:t>Please note:</w:t>
      </w:r>
      <w:r w:rsidRPr="00C02BF3">
        <w:rPr>
          <w:i/>
        </w:rPr>
        <w:t xml:space="preserve"> this information was correct at the time of publishing. If you find these links are broken, type the document title into a search engine</w:t>
      </w:r>
      <w:r>
        <w:rPr>
          <w:i/>
        </w:rPr>
        <w:t>.</w:t>
      </w:r>
    </w:p>
    <w:p w:rsidR="00964157" w:rsidRPr="00F02619" w:rsidRDefault="00964157" w:rsidP="00F02619">
      <w:pPr>
        <w:spacing w:after="0"/>
      </w:pPr>
    </w:p>
    <w:sectPr w:rsidR="00964157" w:rsidRPr="00F02619" w:rsidSect="00A674E5">
      <w:headerReference w:type="default" r:id="rId29"/>
      <w:footerReference w:type="default" r:id="rId30"/>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46" w:rsidRDefault="002D7446" w:rsidP="00033393">
      <w:pPr>
        <w:spacing w:after="0" w:line="240" w:lineRule="auto"/>
      </w:pPr>
      <w:r>
        <w:separator/>
      </w:r>
    </w:p>
  </w:endnote>
  <w:endnote w:type="continuationSeparator" w:id="0">
    <w:p w:rsidR="002D7446" w:rsidRDefault="002D7446" w:rsidP="0003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770377"/>
      <w:docPartObj>
        <w:docPartGallery w:val="Page Numbers (Bottom of Page)"/>
        <w:docPartUnique/>
      </w:docPartObj>
    </w:sdtPr>
    <w:sdtEndPr/>
    <w:sdtContent>
      <w:sdt>
        <w:sdtPr>
          <w:id w:val="-1011378125"/>
          <w:docPartObj>
            <w:docPartGallery w:val="Page Numbers (Top of Page)"/>
            <w:docPartUnique/>
          </w:docPartObj>
        </w:sdtPr>
        <w:sdtEndPr/>
        <w:sdtContent>
          <w:p w:rsidR="00A674E5" w:rsidRDefault="00A674E5" w:rsidP="00FB3587">
            <w:pPr>
              <w:spacing w:after="0"/>
            </w:pPr>
            <w:r>
              <w:rPr>
                <w:noProof/>
                <w:lang w:eastAsia="en-GB"/>
              </w:rPr>
              <mc:AlternateContent>
                <mc:Choice Requires="wps">
                  <w:drawing>
                    <wp:anchor distT="0" distB="0" distL="114300" distR="114300" simplePos="0" relativeHeight="251661312" behindDoc="0" locked="0" layoutInCell="1" allowOverlap="1" wp14:anchorId="3A64F450" wp14:editId="4DFD70B6">
                      <wp:simplePos x="0" y="0"/>
                      <wp:positionH relativeFrom="column">
                        <wp:posOffset>-912495</wp:posOffset>
                      </wp:positionH>
                      <wp:positionV relativeFrom="paragraph">
                        <wp:posOffset>-271051</wp:posOffset>
                      </wp:positionV>
                      <wp:extent cx="7560310" cy="135890"/>
                      <wp:effectExtent l="0" t="0" r="21590" b="16510"/>
                      <wp:wrapNone/>
                      <wp:docPr id="2" name="Rectangle 2"/>
                      <wp:cNvGraphicFramePr/>
                      <a:graphic xmlns:a="http://schemas.openxmlformats.org/drawingml/2006/main">
                        <a:graphicData uri="http://schemas.microsoft.com/office/word/2010/wordprocessingShape">
                          <wps:wsp>
                            <wps:cNvSpPr/>
                            <wps:spPr>
                              <a:xfrm>
                                <a:off x="0" y="0"/>
                                <a:ext cx="7560310" cy="135890"/>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71.85pt;margin-top:-21.35pt;width:595.3pt;height:1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" fillcolor="#7030a0" strokecolor="#7030a0" strokeweight="2pt"/>
                  </w:pict>
                </mc:Fallback>
              </mc:AlternateContent>
            </w:r>
            <w:r w:rsidR="00FB3587" w:rsidRPr="00FB3587">
              <w:t xml:space="preserve"> </w:t>
            </w:r>
            <w:sdt>
              <w:sdtPr>
                <w:id w:val="106205202"/>
                <w:docPartObj>
                  <w:docPartGallery w:val="Page Numbers (Bottom of Page)"/>
                  <w:docPartUnique/>
                </w:docPartObj>
              </w:sdtPr>
              <w:sdtEndPr/>
              <w:sdtContent>
                <w:sdt>
                  <w:sdtPr>
                    <w:id w:val="565050523"/>
                    <w:docPartObj>
                      <w:docPartGallery w:val="Page Numbers (Top of Page)"/>
                      <w:docPartUnique/>
                    </w:docPartObj>
                  </w:sdtPr>
                  <w:sdtEndPr/>
                  <w:sdtContent>
                    <w:sdt>
                      <w:sdtPr>
                        <w:id w:val="18124399"/>
                        <w:docPartObj>
                          <w:docPartGallery w:val="Page Numbers (Top of Page)"/>
                          <w:docPartUnique/>
                        </w:docPartObj>
                      </w:sdtPr>
                      <w:sdtEndPr/>
                      <w:sdtContent>
                        <w:r w:rsidR="00FB3587">
                          <w:rPr>
                            <w:rFonts w:ascii="Calibri" w:hAnsi="Calibri"/>
                            <w:color w:val="000000"/>
                          </w:rPr>
                          <w:t>Copyright ©2019</w:t>
                        </w:r>
                        <w:r w:rsidR="00FB3587" w:rsidRPr="00EE1BFB">
                          <w:rPr>
                            <w:rFonts w:ascii="Calibri" w:hAnsi="Calibri"/>
                            <w:color w:val="000000"/>
                          </w:rPr>
                          <w:t xml:space="preserve"> </w:t>
                        </w:r>
                        <w:r w:rsidR="00FB3587">
                          <w:rPr>
                            <w:rFonts w:ascii="Calibri" w:hAnsi="Calibri"/>
                            <w:color w:val="000000"/>
                          </w:rPr>
                          <w:t xml:space="preserve">WAMITAB                                                                                                   </w:t>
                        </w:r>
                        <w:r w:rsidR="00FB3587" w:rsidRPr="00962130">
                          <w:t xml:space="preserve">Page </w:t>
                        </w:r>
                        <w:r w:rsidR="00FB3587" w:rsidRPr="00962130">
                          <w:rPr>
                            <w:b/>
                          </w:rPr>
                          <w:fldChar w:fldCharType="begin"/>
                        </w:r>
                        <w:r w:rsidR="00FB3587" w:rsidRPr="00962130">
                          <w:rPr>
                            <w:b/>
                          </w:rPr>
                          <w:instrText xml:space="preserve"> PAGE </w:instrText>
                        </w:r>
                        <w:r w:rsidR="00FB3587" w:rsidRPr="00962130">
                          <w:rPr>
                            <w:b/>
                          </w:rPr>
                          <w:fldChar w:fldCharType="separate"/>
                        </w:r>
                        <w:r w:rsidR="00B8156B">
                          <w:rPr>
                            <w:b/>
                            <w:noProof/>
                          </w:rPr>
                          <w:t>1</w:t>
                        </w:r>
                        <w:r w:rsidR="00FB3587" w:rsidRPr="00962130">
                          <w:rPr>
                            <w:b/>
                          </w:rPr>
                          <w:fldChar w:fldCharType="end"/>
                        </w:r>
                        <w:r w:rsidR="00FB3587" w:rsidRPr="00962130">
                          <w:t xml:space="preserve"> of </w:t>
                        </w:r>
                        <w:r w:rsidR="00FB3587" w:rsidRPr="00962130">
                          <w:rPr>
                            <w:b/>
                          </w:rPr>
                          <w:fldChar w:fldCharType="begin"/>
                        </w:r>
                        <w:r w:rsidR="00FB3587" w:rsidRPr="00962130">
                          <w:rPr>
                            <w:b/>
                          </w:rPr>
                          <w:instrText xml:space="preserve"> NUMPAGES  </w:instrText>
                        </w:r>
                        <w:r w:rsidR="00FB3587" w:rsidRPr="00962130">
                          <w:rPr>
                            <w:b/>
                          </w:rPr>
                          <w:fldChar w:fldCharType="separate"/>
                        </w:r>
                        <w:r w:rsidR="00B8156B">
                          <w:rPr>
                            <w:b/>
                            <w:noProof/>
                          </w:rPr>
                          <w:t>2</w:t>
                        </w:r>
                        <w:r w:rsidR="00FB3587" w:rsidRPr="00962130">
                          <w:rPr>
                            <w:b/>
                          </w:rPr>
                          <w:fldChar w:fldCharType="end"/>
                        </w:r>
                      </w:sdtContent>
                    </w:sdt>
                  </w:sdtContent>
                </w:sdt>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46" w:rsidRDefault="002D7446" w:rsidP="00033393">
      <w:pPr>
        <w:spacing w:after="0" w:line="240" w:lineRule="auto"/>
      </w:pPr>
      <w:r>
        <w:separator/>
      </w:r>
    </w:p>
  </w:footnote>
  <w:footnote w:type="continuationSeparator" w:id="0">
    <w:p w:rsidR="002D7446" w:rsidRDefault="002D7446" w:rsidP="00033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4E5" w:rsidRPr="00033393" w:rsidRDefault="00A674E5">
    <w:pPr>
      <w:pStyle w:val="Header"/>
      <w:rPr>
        <w:b/>
      </w:rPr>
    </w:pPr>
    <w:r w:rsidRPr="00033393">
      <w:rPr>
        <w:b/>
        <w:noProof/>
        <w:lang w:eastAsia="en-GB"/>
      </w:rPr>
      <mc:AlternateContent>
        <mc:Choice Requires="wps">
          <w:drawing>
            <wp:anchor distT="0" distB="0" distL="114300" distR="114300" simplePos="0" relativeHeight="251659264" behindDoc="0" locked="0" layoutInCell="1" allowOverlap="1" wp14:anchorId="085FA3B7" wp14:editId="58186198">
              <wp:simplePos x="0" y="0"/>
              <wp:positionH relativeFrom="column">
                <wp:posOffset>-914400</wp:posOffset>
              </wp:positionH>
              <wp:positionV relativeFrom="paragraph">
                <wp:posOffset>314695</wp:posOffset>
              </wp:positionV>
              <wp:extent cx="7560860" cy="136477"/>
              <wp:effectExtent l="0" t="0" r="21590" b="16510"/>
              <wp:wrapNone/>
              <wp:docPr id="1" name="Rectangle 1"/>
              <wp:cNvGraphicFramePr/>
              <a:graphic xmlns:a="http://schemas.openxmlformats.org/drawingml/2006/main">
                <a:graphicData uri="http://schemas.microsoft.com/office/word/2010/wordprocessingShape">
                  <wps:wsp>
                    <wps:cNvSpPr/>
                    <wps:spPr>
                      <a:xfrm>
                        <a:off x="0" y="0"/>
                        <a:ext cx="7560860" cy="136477"/>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in;margin-top:24.8pt;width:595.35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" fillcolor="#7030a0" strokecolor="#7030a0" strokeweight="2pt"/>
          </w:pict>
        </mc:Fallback>
      </mc:AlternateContent>
    </w:r>
    <w:r w:rsidRPr="00033393">
      <w:rPr>
        <w:b/>
      </w:rPr>
      <w:t>Continuing Competence</w:t>
    </w:r>
    <w:r w:rsidRPr="00033393">
      <w:rPr>
        <w:b/>
      </w:rPr>
      <w:ptab w:relativeTo="margin" w:alignment="center" w:leader="none"/>
    </w:r>
    <w:r w:rsidRPr="00033393">
      <w:rPr>
        <w:b/>
      </w:rPr>
      <w:t>Free Update Sheet</w:t>
    </w:r>
    <w:r w:rsidRPr="00033393">
      <w:rPr>
        <w:b/>
      </w:rPr>
      <w:ptab w:relativeTo="margin" w:alignment="right" w:leader="none"/>
    </w:r>
    <w:r w:rsidRPr="00033393">
      <w:rPr>
        <w:b/>
      </w:rPr>
      <w:t>Period 2019-2021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90B17"/>
    <w:multiLevelType w:val="hybridMultilevel"/>
    <w:tmpl w:val="24BE0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D900997"/>
    <w:multiLevelType w:val="hybridMultilevel"/>
    <w:tmpl w:val="205A7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1005908"/>
    <w:multiLevelType w:val="hybridMultilevel"/>
    <w:tmpl w:val="B9C8B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34E388E"/>
    <w:multiLevelType w:val="hybridMultilevel"/>
    <w:tmpl w:val="B68A5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A7"/>
    <w:rsid w:val="0002797C"/>
    <w:rsid w:val="00033393"/>
    <w:rsid w:val="000C3A3D"/>
    <w:rsid w:val="002D7446"/>
    <w:rsid w:val="00327D79"/>
    <w:rsid w:val="003321AB"/>
    <w:rsid w:val="00440CA7"/>
    <w:rsid w:val="00501892"/>
    <w:rsid w:val="005607D4"/>
    <w:rsid w:val="00614A21"/>
    <w:rsid w:val="00616296"/>
    <w:rsid w:val="0069215B"/>
    <w:rsid w:val="00693750"/>
    <w:rsid w:val="00780557"/>
    <w:rsid w:val="007A593D"/>
    <w:rsid w:val="00920CC9"/>
    <w:rsid w:val="00964157"/>
    <w:rsid w:val="00A674E5"/>
    <w:rsid w:val="00A76955"/>
    <w:rsid w:val="00AA6976"/>
    <w:rsid w:val="00AE4804"/>
    <w:rsid w:val="00AF2659"/>
    <w:rsid w:val="00B15D2A"/>
    <w:rsid w:val="00B8156B"/>
    <w:rsid w:val="00BB636F"/>
    <w:rsid w:val="00BE5446"/>
    <w:rsid w:val="00BF18D8"/>
    <w:rsid w:val="00C02BF3"/>
    <w:rsid w:val="00C6135E"/>
    <w:rsid w:val="00DB0056"/>
    <w:rsid w:val="00E961A5"/>
    <w:rsid w:val="00F02619"/>
    <w:rsid w:val="00FB3587"/>
    <w:rsid w:val="00FF5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393"/>
  </w:style>
  <w:style w:type="paragraph" w:styleId="Footer">
    <w:name w:val="footer"/>
    <w:basedOn w:val="Normal"/>
    <w:link w:val="FooterChar"/>
    <w:uiPriority w:val="99"/>
    <w:unhideWhenUsed/>
    <w:rsid w:val="00033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393"/>
  </w:style>
  <w:style w:type="paragraph" w:styleId="BalloonText">
    <w:name w:val="Balloon Text"/>
    <w:basedOn w:val="Normal"/>
    <w:link w:val="BalloonTextChar"/>
    <w:uiPriority w:val="99"/>
    <w:semiHidden/>
    <w:unhideWhenUsed/>
    <w:rsid w:val="0003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393"/>
    <w:rPr>
      <w:rFonts w:ascii="Tahoma" w:hAnsi="Tahoma" w:cs="Tahoma"/>
      <w:sz w:val="16"/>
      <w:szCs w:val="16"/>
    </w:rPr>
  </w:style>
  <w:style w:type="table" w:styleId="TableGrid">
    <w:name w:val="Table Grid"/>
    <w:basedOn w:val="TableNormal"/>
    <w:uiPriority w:val="59"/>
    <w:rsid w:val="00BE5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2619"/>
    <w:pPr>
      <w:ind w:left="720"/>
      <w:contextualSpacing/>
    </w:pPr>
  </w:style>
  <w:style w:type="character" w:styleId="Hyperlink">
    <w:name w:val="Hyperlink"/>
    <w:basedOn w:val="DefaultParagraphFont"/>
    <w:uiPriority w:val="99"/>
    <w:unhideWhenUsed/>
    <w:rsid w:val="00F02619"/>
    <w:rPr>
      <w:color w:val="0000FF" w:themeColor="hyperlink"/>
      <w:u w:val="single"/>
    </w:rPr>
  </w:style>
  <w:style w:type="table" w:styleId="LightShading-Accent4">
    <w:name w:val="Light Shading Accent 4"/>
    <w:basedOn w:val="TableNormal"/>
    <w:uiPriority w:val="60"/>
    <w:rsid w:val="00C02BF3"/>
    <w:pPr>
      <w:spacing w:after="0" w:line="240" w:lineRule="auto"/>
    </w:pPr>
    <w:rPr>
      <w:rFonts w:eastAsiaTheme="minorEastAsia"/>
      <w:color w:val="5F497A" w:themeColor="accent4" w:themeShade="BF"/>
      <w:lang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393"/>
  </w:style>
  <w:style w:type="paragraph" w:styleId="Footer">
    <w:name w:val="footer"/>
    <w:basedOn w:val="Normal"/>
    <w:link w:val="FooterChar"/>
    <w:uiPriority w:val="99"/>
    <w:unhideWhenUsed/>
    <w:rsid w:val="00033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393"/>
  </w:style>
  <w:style w:type="paragraph" w:styleId="BalloonText">
    <w:name w:val="Balloon Text"/>
    <w:basedOn w:val="Normal"/>
    <w:link w:val="BalloonTextChar"/>
    <w:uiPriority w:val="99"/>
    <w:semiHidden/>
    <w:unhideWhenUsed/>
    <w:rsid w:val="0003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393"/>
    <w:rPr>
      <w:rFonts w:ascii="Tahoma" w:hAnsi="Tahoma" w:cs="Tahoma"/>
      <w:sz w:val="16"/>
      <w:szCs w:val="16"/>
    </w:rPr>
  </w:style>
  <w:style w:type="table" w:styleId="TableGrid">
    <w:name w:val="Table Grid"/>
    <w:basedOn w:val="TableNormal"/>
    <w:uiPriority w:val="59"/>
    <w:rsid w:val="00BE5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2619"/>
    <w:pPr>
      <w:ind w:left="720"/>
      <w:contextualSpacing/>
    </w:pPr>
  </w:style>
  <w:style w:type="character" w:styleId="Hyperlink">
    <w:name w:val="Hyperlink"/>
    <w:basedOn w:val="DefaultParagraphFont"/>
    <w:uiPriority w:val="99"/>
    <w:unhideWhenUsed/>
    <w:rsid w:val="00F02619"/>
    <w:rPr>
      <w:color w:val="0000FF" w:themeColor="hyperlink"/>
      <w:u w:val="single"/>
    </w:rPr>
  </w:style>
  <w:style w:type="table" w:styleId="LightShading-Accent4">
    <w:name w:val="Light Shading Accent 4"/>
    <w:basedOn w:val="TableNormal"/>
    <w:uiPriority w:val="60"/>
    <w:rsid w:val="00C02BF3"/>
    <w:pPr>
      <w:spacing w:after="0" w:line="240" w:lineRule="auto"/>
    </w:pPr>
    <w:rPr>
      <w:rFonts w:eastAsiaTheme="minorEastAsia"/>
      <w:color w:val="5F497A" w:themeColor="accent4" w:themeShade="BF"/>
      <w:lang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5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s://www.gov.uk/guidance/waste-electrical-and-electronic-equipment-weee-reuse-and-treat" TargetMode="External"/><Relationship Id="rId26" Type="http://schemas.openxmlformats.org/officeDocument/2006/relationships/hyperlink" Target="http://www.wrap.org.uk/content/benefits-pas-141" TargetMode="External"/><Relationship Id="rId3" Type="http://schemas.openxmlformats.org/officeDocument/2006/relationships/styles" Target="styles.xml"/><Relationship Id="rId21" Type="http://schemas.openxmlformats.org/officeDocument/2006/relationships/hyperlink" Target="https://www.gov.uk/guidance/waste-electrical-and-electronic-equipment-weee-exporting" TargetMode="External"/><Relationship Id="rId7" Type="http://schemas.openxmlformats.org/officeDocument/2006/relationships/footnotes" Target="footnotes.xml"/><Relationship Id="rId12" Type="http://schemas.openxmlformats.org/officeDocument/2006/relationships/hyperlink" Target="http://www.wrap.org.uk/sites/files/wrap/5.0%20Treatment%20for%20Reuse%20-%20Online.pdf" TargetMode="External"/><Relationship Id="rId17" Type="http://schemas.openxmlformats.org/officeDocument/2006/relationships/hyperlink" Target="https://assets.publishing.service.gov.uk/government/uploads/system/uploads/attachment_data/file/719394/Waste-classification-technical-guidance-WM3.pdf" TargetMode="External"/><Relationship Id="rId25" Type="http://schemas.openxmlformats.org/officeDocument/2006/relationships/hyperlink" Target="https://naturalresources.wales/permits-and-permissions/waste/waste-electrical-and-electronic-equipment-weee/?lang=en" TargetMode="External"/><Relationship Id="rId2" Type="http://schemas.openxmlformats.org/officeDocument/2006/relationships/numbering" Target="numbering.xml"/><Relationship Id="rId16" Type="http://schemas.openxmlformats.org/officeDocument/2006/relationships/hyperlink" Target="http://webarchive.nationalarchives.gov.uk/20140328084622/http:/cdn.environment-agency.gov.uk/geho0611btuv-e-e.pdf" TargetMode="External"/><Relationship Id="rId20" Type="http://schemas.openxmlformats.org/officeDocument/2006/relationships/hyperlink" Target="https://www.gov.uk/dispose-hazardous-waste/consignment-not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turalresources.wales/permits-and-permissions/waste/waste-electrical-and-electronic-equipment-weee/?lang=en" TargetMode="External"/><Relationship Id="rId24" Type="http://schemas.openxmlformats.org/officeDocument/2006/relationships/hyperlink" Target="https://naturalresources.wales/guidance-and-advice/environmental-topics/waste-management/how-to-classify-and-assess-waste/?lang=e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ebarchive.nationalarchives.gov.uk/20130403043343/http:/archive.defra.gov.uk/environment/waste/producer/electrical/documents/weee-batrrt-guidance.pdf" TargetMode="External"/><Relationship Id="rId23" Type="http://schemas.openxmlformats.org/officeDocument/2006/relationships/hyperlink" Target="http://www.hse.gov.uk/waste/waste-electrical.htm" TargetMode="External"/><Relationship Id="rId28" Type="http://schemas.openxmlformats.org/officeDocument/2006/relationships/hyperlink" Target="http://www.wrap.org.uk/sites/files/wrap/6.0%20Treatment%20of%20WEEE%20-%20Online.pdf" TargetMode="External"/><Relationship Id="rId10" Type="http://schemas.openxmlformats.org/officeDocument/2006/relationships/hyperlink" Target="https://www.gov.uk/guidance/dispose-of-waste-containing-persistent-organic-pollutants-pops" TargetMode="External"/><Relationship Id="rId19" Type="http://schemas.openxmlformats.org/officeDocument/2006/relationships/hyperlink" Target="https://www.gov.uk/how-to-classify-different-types-of-waste/electronic-and-electrical-equipmen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amitab.org.uk/competence/continuing-competence/test-score-calculator/" TargetMode="External"/><Relationship Id="rId14" Type="http://schemas.openxmlformats.org/officeDocument/2006/relationships/hyperlink" Target="https://www.gov.uk/government/uploads/system/uploads/attachment_data/file/254118/bis-13-1256-interim-government-guidance-notes-new-weee-regulations.pdf" TargetMode="External"/><Relationship Id="rId22" Type="http://schemas.openxmlformats.org/officeDocument/2006/relationships/hyperlink" Target="https://www.gov.uk/guidance/waste-electrical-and-electronic-equipment-weee-reuse-and-treat" TargetMode="External"/><Relationship Id="rId27" Type="http://schemas.openxmlformats.org/officeDocument/2006/relationships/hyperlink" Target="http://www.wrap.org.uk/sites/files/wrap/5.0%20Treatment%20for%20Reuse%20-%20Online.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7A9B10-B0B8-4A3F-909B-53C79A56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Wamitab</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Kemp</dc:creator>
  <cp:lastModifiedBy>Helen Kemp</cp:lastModifiedBy>
  <cp:revision>2</cp:revision>
  <cp:lastPrinted>2018-11-07T09:57:00Z</cp:lastPrinted>
  <dcterms:created xsi:type="dcterms:W3CDTF">2019-02-19T09:50:00Z</dcterms:created>
  <dcterms:modified xsi:type="dcterms:W3CDTF">2019-02-19T09:50:00Z</dcterms:modified>
</cp:coreProperties>
</file>