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3D" w:rsidRDefault="00C4185B" w:rsidP="009C4736">
      <w:pPr>
        <w:spacing w:before="240" w:after="0" w:line="240" w:lineRule="auto"/>
        <w:rPr>
          <w:b/>
          <w:color w:val="7030A0"/>
          <w:sz w:val="24"/>
        </w:rPr>
      </w:pPr>
      <w:r>
        <w:rPr>
          <w:b/>
          <w:color w:val="7030A0"/>
          <w:sz w:val="24"/>
        </w:rPr>
        <w:t>Contaminated Land</w:t>
      </w:r>
    </w:p>
    <w:p w:rsidR="00A6136C" w:rsidRDefault="00A6136C" w:rsidP="009C4736">
      <w:pPr>
        <w:spacing w:after="0" w:line="240" w:lineRule="auto"/>
        <w:rPr>
          <w:b/>
        </w:rPr>
      </w:pPr>
      <w:r>
        <w:rPr>
          <w:b/>
        </w:rPr>
        <w:t>Content Changes 2016-2018 Revision Guide</w:t>
      </w:r>
    </w:p>
    <w:p w:rsidR="00EA6C4F" w:rsidRPr="00EA6C4F" w:rsidRDefault="00EA6C4F" w:rsidP="00EA6C4F">
      <w:pPr>
        <w:spacing w:after="0"/>
        <w:rPr>
          <w:rFonts w:ascii="Calibri" w:eastAsia="Calibri" w:hAnsi="Calibri" w:cs="Times New Roman"/>
          <w:b/>
          <w:i/>
        </w:rPr>
      </w:pPr>
      <w:r w:rsidRPr="00EA6C4F">
        <w:rPr>
          <w:rFonts w:ascii="Calibri" w:eastAsia="Calibri" w:hAnsi="Calibri" w:cs="Times New Roman"/>
          <w:b/>
          <w:i/>
        </w:rPr>
        <w:t xml:space="preserve">All page numbers refer to the 2016-2018 Revision Guides with red covers. </w:t>
      </w:r>
    </w:p>
    <w:p w:rsidR="00EA6C4F" w:rsidRDefault="00EA6C4F" w:rsidP="009C4736">
      <w:pPr>
        <w:spacing w:after="0" w:line="240" w:lineRule="auto"/>
        <w:rPr>
          <w:b/>
        </w:rPr>
      </w:pPr>
    </w:p>
    <w:p w:rsidR="008A2290" w:rsidRDefault="008A2290" w:rsidP="009C4736">
      <w:pPr>
        <w:spacing w:line="240" w:lineRule="auto"/>
        <w:rPr>
          <w:i/>
          <w:color w:val="7030A0"/>
        </w:rPr>
      </w:pPr>
      <w:r>
        <w:rPr>
          <w:i/>
          <w:color w:val="7030A0"/>
        </w:rPr>
        <w:t xml:space="preserve">Section </w:t>
      </w:r>
      <w:r w:rsidR="00BC7AE5">
        <w:rPr>
          <w:i/>
          <w:color w:val="7030A0"/>
        </w:rPr>
        <w:t>1</w:t>
      </w:r>
      <w:r>
        <w:rPr>
          <w:i/>
          <w:color w:val="7030A0"/>
        </w:rPr>
        <w:t xml:space="preserve">: </w:t>
      </w:r>
      <w:r w:rsidR="00BC7AE5">
        <w:rPr>
          <w:i/>
          <w:color w:val="7030A0"/>
        </w:rPr>
        <w:t>Options Appraisal and Remediation Strategy</w:t>
      </w:r>
      <w:r w:rsidR="00E57C78">
        <w:rPr>
          <w:i/>
          <w:color w:val="7030A0"/>
        </w:rPr>
        <w:t>, page 1</w:t>
      </w:r>
      <w:r w:rsidR="00612A28">
        <w:rPr>
          <w:i/>
          <w:color w:val="7030A0"/>
        </w:rPr>
        <w:t>4</w:t>
      </w:r>
    </w:p>
    <w:p w:rsidR="00F9256E" w:rsidRPr="00BC7AE5" w:rsidRDefault="00BC7AE5" w:rsidP="009C4736">
      <w:pPr>
        <w:spacing w:line="240" w:lineRule="auto"/>
        <w:rPr>
          <w:color w:val="FFFFFF" w:themeColor="background1"/>
        </w:rPr>
      </w:pPr>
      <w:r w:rsidRPr="00C234AC">
        <w:rPr>
          <w:b/>
        </w:rPr>
        <w:t xml:space="preserve">A remediation strategy </w:t>
      </w:r>
      <w:r w:rsidRPr="00C234AC">
        <w:t xml:space="preserve">is a plan that involves one or more remediation options to reduce or control the risks from all the relevant pollutant linkages associated with the </w:t>
      </w:r>
      <w:r w:rsidR="006C7604">
        <w:t xml:space="preserve">site. </w:t>
      </w:r>
      <w:r w:rsidRPr="00047E7D">
        <w:rPr>
          <w:color w:val="FFFFFF" w:themeColor="background1"/>
        </w:rPr>
        <w:t>site.</w:t>
      </w:r>
    </w:p>
    <w:p w:rsidR="00BC7AE5" w:rsidRDefault="00BC7AE5" w:rsidP="009C4736">
      <w:pPr>
        <w:spacing w:line="240" w:lineRule="auto"/>
        <w:rPr>
          <w:i/>
          <w:color w:val="7030A0"/>
        </w:rPr>
      </w:pPr>
      <w:r>
        <w:rPr>
          <w:i/>
          <w:color w:val="7030A0"/>
        </w:rPr>
        <w:t>Section 1: Flooding Risk, page 1</w:t>
      </w:r>
      <w:r w:rsidR="00612A28">
        <w:rPr>
          <w:i/>
          <w:color w:val="7030A0"/>
        </w:rPr>
        <w:t>5</w:t>
      </w:r>
    </w:p>
    <w:p w:rsidR="00BC7AE5" w:rsidRPr="00C234AC" w:rsidRDefault="00BC7AE5" w:rsidP="009C4736">
      <w:pPr>
        <w:spacing w:line="240" w:lineRule="auto"/>
      </w:pPr>
      <w:r w:rsidRPr="00C234AC">
        <w:t xml:space="preserve">An </w:t>
      </w:r>
      <w:r w:rsidRPr="00C234AC">
        <w:rPr>
          <w:b/>
        </w:rPr>
        <w:t xml:space="preserve">implementation plan </w:t>
      </w:r>
      <w:r w:rsidRPr="00C234AC">
        <w:t>should set out all aspects of design, preparation, implementation, verification, long-term maintenance and monitoring of remediation. The plan will normally be developed following the risk assessment and options appraisal.</w:t>
      </w:r>
    </w:p>
    <w:p w:rsidR="00BC7AE5" w:rsidRDefault="00BC7AE5" w:rsidP="009C4736">
      <w:pPr>
        <w:spacing w:line="240" w:lineRule="auto"/>
      </w:pPr>
      <w:r>
        <w:t>When preparing an implementation plan, the operator should:</w:t>
      </w:r>
    </w:p>
    <w:p w:rsidR="00BC7AE5" w:rsidRDefault="00BC7AE5" w:rsidP="009C4736">
      <w:pPr>
        <w:numPr>
          <w:ilvl w:val="0"/>
          <w:numId w:val="19"/>
        </w:numPr>
        <w:spacing w:after="0" w:line="240" w:lineRule="auto"/>
      </w:pPr>
      <w:r>
        <w:t>Consult stakeholders with an interest in the land to develop the plan.</w:t>
      </w:r>
    </w:p>
    <w:p w:rsidR="00BC7AE5" w:rsidRDefault="00BC7AE5" w:rsidP="009C4736">
      <w:pPr>
        <w:numPr>
          <w:ilvl w:val="0"/>
          <w:numId w:val="19"/>
        </w:numPr>
        <w:spacing w:after="0" w:line="240" w:lineRule="auto"/>
      </w:pPr>
      <w:r>
        <w:t>Consult with the environmental regulator to develop the plan.</w:t>
      </w:r>
    </w:p>
    <w:p w:rsidR="00BC7AE5" w:rsidRDefault="00BC7AE5" w:rsidP="009C4736">
      <w:pPr>
        <w:numPr>
          <w:ilvl w:val="0"/>
          <w:numId w:val="19"/>
        </w:numPr>
        <w:spacing w:after="0" w:line="240" w:lineRule="auto"/>
      </w:pPr>
      <w:r>
        <w:t>Base the implementation plan on the remediation strategy.</w:t>
      </w:r>
    </w:p>
    <w:p w:rsidR="00BC7AE5" w:rsidRDefault="00BC7AE5" w:rsidP="009C4736">
      <w:pPr>
        <w:numPr>
          <w:ilvl w:val="0"/>
          <w:numId w:val="19"/>
        </w:numPr>
        <w:spacing w:after="0" w:line="240" w:lineRule="auto"/>
      </w:pPr>
      <w:r>
        <w:t>Agree the plan with the stakeholders and environmental regulator.</w:t>
      </w:r>
    </w:p>
    <w:p w:rsidR="00BC7AE5" w:rsidRDefault="00BC7AE5" w:rsidP="009C4736">
      <w:pPr>
        <w:spacing w:after="0" w:line="240" w:lineRule="auto"/>
      </w:pPr>
    </w:p>
    <w:p w:rsidR="00BC7AE5" w:rsidRDefault="00BC7AE5" w:rsidP="009C4736">
      <w:pPr>
        <w:spacing w:line="240" w:lineRule="auto"/>
        <w:rPr>
          <w:i/>
          <w:color w:val="7030A0"/>
        </w:rPr>
      </w:pPr>
      <w:r>
        <w:rPr>
          <w:i/>
          <w:color w:val="7030A0"/>
        </w:rPr>
        <w:t>Section 1: Verification and Monitoring Plan, page 1</w:t>
      </w:r>
      <w:r w:rsidR="00612A28">
        <w:rPr>
          <w:i/>
          <w:color w:val="7030A0"/>
        </w:rPr>
        <w:t>6</w:t>
      </w:r>
    </w:p>
    <w:p w:rsidR="00BC7AE5" w:rsidRPr="00512691" w:rsidRDefault="00BC7AE5" w:rsidP="009C4736">
      <w:pPr>
        <w:spacing w:line="240" w:lineRule="auto"/>
      </w:pPr>
      <w:r>
        <w:t xml:space="preserve">A verification plan should be produced during the design stage outlining how the remediation work will be checked and monitored. </w:t>
      </w:r>
    </w:p>
    <w:p w:rsidR="00BC7AE5" w:rsidRDefault="00BC7AE5" w:rsidP="009C4736">
      <w:pPr>
        <w:spacing w:line="240" w:lineRule="auto"/>
      </w:pPr>
      <w:r>
        <w:t xml:space="preserve">A </w:t>
      </w:r>
      <w:r w:rsidRPr="000A627B">
        <w:rPr>
          <w:b/>
        </w:rPr>
        <w:t>monitoring</w:t>
      </w:r>
      <w:r>
        <w:t xml:space="preserve"> </w:t>
      </w:r>
      <w:r w:rsidRPr="00FD3C07">
        <w:rPr>
          <w:b/>
        </w:rPr>
        <w:t>and maintenance</w:t>
      </w:r>
      <w:r>
        <w:t xml:space="preserve"> </w:t>
      </w:r>
      <w:r>
        <w:rPr>
          <w:b/>
        </w:rPr>
        <w:t xml:space="preserve">plan </w:t>
      </w:r>
      <w:r>
        <w:t>will be needed to ensure regular and successful on-going functioning of remediation. It involves confirming predicted behaviours as an early warning of adverse trends.</w:t>
      </w:r>
    </w:p>
    <w:p w:rsidR="00BC7AE5" w:rsidRPr="00BC7AE5" w:rsidRDefault="00BC7AE5" w:rsidP="009C4736">
      <w:pPr>
        <w:spacing w:line="240" w:lineRule="auto"/>
      </w:pPr>
      <w:r>
        <w:t xml:space="preserve">This plan is used when implementation of remediation is complete and a verification report is in place. </w:t>
      </w:r>
    </w:p>
    <w:p w:rsidR="0041598F" w:rsidRDefault="0041598F" w:rsidP="009C4736">
      <w:pPr>
        <w:spacing w:line="240" w:lineRule="auto"/>
        <w:rPr>
          <w:i/>
          <w:color w:val="7030A0"/>
        </w:rPr>
      </w:pPr>
    </w:p>
    <w:p w:rsidR="009C4736" w:rsidRDefault="00C4185B" w:rsidP="009C4736">
      <w:pPr>
        <w:spacing w:line="240" w:lineRule="auto"/>
        <w:rPr>
          <w:i/>
          <w:color w:val="7030A0"/>
        </w:rPr>
      </w:pPr>
      <w:r>
        <w:rPr>
          <w:i/>
          <w:color w:val="7030A0"/>
        </w:rPr>
        <w:t>REMOVED Learning Outcome 1.5: Know what specific issues the local authority and the Regulator will need to ensure is addressed within an im</w:t>
      </w:r>
      <w:r w:rsidR="004A2037">
        <w:rPr>
          <w:i/>
          <w:color w:val="7030A0"/>
        </w:rPr>
        <w:t>plementation plan</w:t>
      </w:r>
    </w:p>
    <w:p w:rsidR="00C4185B" w:rsidRDefault="00C4185B" w:rsidP="009C4736">
      <w:pPr>
        <w:spacing w:line="240" w:lineRule="auto"/>
        <w:rPr>
          <w:i/>
          <w:color w:val="7030A0"/>
        </w:rPr>
      </w:pPr>
      <w:r>
        <w:rPr>
          <w:i/>
          <w:color w:val="7030A0"/>
        </w:rPr>
        <w:t>NEW Learning Outcome 1.7: Know the key requirements of a basic risk management process</w:t>
      </w:r>
      <w:r w:rsidR="0041598F">
        <w:rPr>
          <w:i/>
          <w:color w:val="7030A0"/>
        </w:rPr>
        <w:t>.</w:t>
      </w:r>
    </w:p>
    <w:p w:rsidR="00C4185B" w:rsidRDefault="00472925" w:rsidP="009C4736">
      <w:pPr>
        <w:spacing w:line="240" w:lineRule="auto"/>
        <w:rPr>
          <w:i/>
          <w:color w:val="7030A0"/>
        </w:rPr>
      </w:pPr>
      <w:r>
        <w:rPr>
          <w:i/>
          <w:color w:val="7030A0"/>
        </w:rPr>
        <w:t>NEW Learning Outcome 1.8: Know the definition of a pollutant linkage</w:t>
      </w:r>
      <w:r w:rsidR="0041598F">
        <w:rPr>
          <w:i/>
          <w:color w:val="7030A0"/>
        </w:rPr>
        <w:t>.</w:t>
      </w:r>
    </w:p>
    <w:p w:rsidR="00472925" w:rsidRDefault="00472925" w:rsidP="009C4736">
      <w:pPr>
        <w:spacing w:line="240" w:lineRule="auto"/>
        <w:rPr>
          <w:i/>
          <w:color w:val="7030A0"/>
        </w:rPr>
      </w:pPr>
      <w:r>
        <w:rPr>
          <w:i/>
          <w:color w:val="7030A0"/>
        </w:rPr>
        <w:t>NEW Learning Outcome 1.9: Know the hierarchy of risk assessment options to be followed</w:t>
      </w:r>
      <w:r w:rsidR="0041598F">
        <w:rPr>
          <w:i/>
          <w:color w:val="7030A0"/>
        </w:rPr>
        <w:t>.</w:t>
      </w:r>
    </w:p>
    <w:p w:rsidR="00BC7AE5" w:rsidRDefault="00BC7AE5" w:rsidP="009C4736">
      <w:pPr>
        <w:spacing w:line="240" w:lineRule="auto"/>
        <w:rPr>
          <w:i/>
          <w:color w:val="7030A0"/>
        </w:rPr>
      </w:pPr>
      <w:r>
        <w:rPr>
          <w:noProof/>
          <w:lang w:eastAsia="en-GB"/>
        </w:rPr>
        <w:drawing>
          <wp:inline distT="0" distB="0" distL="0" distR="0" wp14:anchorId="36BC0B24" wp14:editId="67044628">
            <wp:extent cx="2638425" cy="1333500"/>
            <wp:effectExtent l="0" t="0" r="9525" b="19050"/>
            <wp:docPr id="182" name="Diagram 18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C7AE5" w:rsidRDefault="00BC7AE5" w:rsidP="009C4736">
      <w:pPr>
        <w:spacing w:line="240" w:lineRule="auto"/>
        <w:rPr>
          <w:i/>
          <w:color w:val="7030A0"/>
        </w:rPr>
      </w:pPr>
      <w:r>
        <w:rPr>
          <w:noProof/>
          <w:lang w:eastAsia="en-GB"/>
        </w:rPr>
        <w:drawing>
          <wp:inline distT="0" distB="0" distL="0" distR="0" wp14:anchorId="2A0463D2" wp14:editId="0576295D">
            <wp:extent cx="2638425" cy="1162050"/>
            <wp:effectExtent l="0" t="19050" r="9525" b="19050"/>
            <wp:docPr id="181" name="Diagram 18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C7AE5" w:rsidRDefault="00BC7AE5" w:rsidP="009C4736">
      <w:pPr>
        <w:spacing w:line="240" w:lineRule="auto"/>
        <w:rPr>
          <w:i/>
          <w:color w:val="7030A0"/>
        </w:rPr>
      </w:pPr>
      <w:r>
        <w:rPr>
          <w:noProof/>
          <w:lang w:eastAsia="en-GB"/>
        </w:rPr>
        <w:drawing>
          <wp:inline distT="0" distB="0" distL="0" distR="0" wp14:anchorId="211D7F7F" wp14:editId="03B0F326">
            <wp:extent cx="2638425" cy="1295400"/>
            <wp:effectExtent l="0" t="0" r="28575" b="19050"/>
            <wp:docPr id="185" name="Diagram 18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612A28" w:rsidRDefault="00D96F8B" w:rsidP="009C4736">
      <w:pPr>
        <w:spacing w:line="240" w:lineRule="auto"/>
        <w:rPr>
          <w:i/>
          <w:color w:val="7030A0"/>
        </w:rPr>
      </w:pPr>
      <w:r>
        <w:rPr>
          <w:i/>
          <w:color w:val="7030A0"/>
        </w:rPr>
        <w:t xml:space="preserve">Section </w:t>
      </w:r>
      <w:r w:rsidR="009C4736">
        <w:rPr>
          <w:i/>
          <w:color w:val="7030A0"/>
        </w:rPr>
        <w:t>2</w:t>
      </w:r>
      <w:r w:rsidR="00612A28">
        <w:rPr>
          <w:i/>
          <w:color w:val="7030A0"/>
        </w:rPr>
        <w:t>: Definitions, page 19</w:t>
      </w:r>
    </w:p>
    <w:p w:rsidR="00D96F8B" w:rsidRPr="00D96F8B" w:rsidRDefault="009C4736" w:rsidP="009C4736">
      <w:pPr>
        <w:spacing w:line="240" w:lineRule="auto"/>
      </w:pPr>
      <w:r w:rsidRPr="00D96F8B">
        <w:t>Contaminated or</w:t>
      </w:r>
      <w:r w:rsidR="00D96F8B" w:rsidRPr="00D96F8B">
        <w:t xml:space="preserve"> uncontaminated soils and materials require treatment before it is suitable for use. It will be considered to be waste at the point that it is excavated, or is treated in-situ </w:t>
      </w:r>
      <w:r w:rsidRPr="00D96F8B">
        <w:t>and</w:t>
      </w:r>
      <w:r w:rsidR="00D96F8B" w:rsidRPr="00D96F8B">
        <w:t xml:space="preserve"> would need to be controlled through the waste regulatory regime.</w:t>
      </w:r>
    </w:p>
    <w:p w:rsidR="009C4736" w:rsidRDefault="00472925" w:rsidP="009C4736">
      <w:pPr>
        <w:spacing w:line="240" w:lineRule="auto"/>
        <w:rPr>
          <w:i/>
          <w:color w:val="7030A0"/>
        </w:rPr>
      </w:pPr>
      <w:r>
        <w:rPr>
          <w:i/>
          <w:color w:val="7030A0"/>
        </w:rPr>
        <w:lastRenderedPageBreak/>
        <w:t>REMOVED Learning Outcome 2.3: Know the in-situ remediation technique that may be employed under an Environmental Permit</w:t>
      </w:r>
    </w:p>
    <w:p w:rsidR="009C4736" w:rsidRDefault="009C4736" w:rsidP="009C4736">
      <w:pPr>
        <w:spacing w:line="240" w:lineRule="auto"/>
        <w:rPr>
          <w:i/>
          <w:color w:val="7030A0"/>
        </w:rPr>
      </w:pPr>
      <w:r>
        <w:rPr>
          <w:i/>
          <w:color w:val="7030A0"/>
        </w:rPr>
        <w:t>Section 3: Waste Acceptance Procedures, page 2</w:t>
      </w:r>
      <w:r w:rsidR="00612A28">
        <w:rPr>
          <w:i/>
          <w:color w:val="7030A0"/>
        </w:rPr>
        <w:t>6</w:t>
      </w:r>
    </w:p>
    <w:p w:rsidR="009C4736" w:rsidRDefault="009C4736" w:rsidP="009C4736">
      <w:pPr>
        <w:spacing w:line="240" w:lineRule="auto"/>
      </w:pPr>
      <w:r>
        <w:t xml:space="preserve">These </w:t>
      </w:r>
      <w:r w:rsidRPr="003D4D1E">
        <w:t>waste acceptance procedure</w:t>
      </w:r>
      <w:r>
        <w:t>s</w:t>
      </w:r>
      <w:r w:rsidRPr="003D4D1E">
        <w:t xml:space="preserve"> must </w:t>
      </w:r>
      <w:r>
        <w:t xml:space="preserve">specify the maximum capacities of quarantine facilities to be used for the storage of contaminated materials destined for re-testing, re-processing or off-site disposal. </w:t>
      </w:r>
    </w:p>
    <w:p w:rsidR="009C4736" w:rsidRPr="009C4736" w:rsidRDefault="009C4736" w:rsidP="009C4736">
      <w:pPr>
        <w:spacing w:line="240" w:lineRule="auto"/>
      </w:pPr>
      <w:r>
        <w:t>In addition, these procedures should include details of any containment put in place to prevent or minimise pollution. The locations of this containment should be marked on the site plan.</w:t>
      </w:r>
    </w:p>
    <w:p w:rsidR="009C4736" w:rsidRDefault="009C4736" w:rsidP="009C4736">
      <w:pPr>
        <w:spacing w:line="240" w:lineRule="auto"/>
        <w:rPr>
          <w:i/>
          <w:color w:val="7030A0"/>
        </w:rPr>
      </w:pPr>
      <w:r>
        <w:rPr>
          <w:i/>
          <w:color w:val="7030A0"/>
        </w:rPr>
        <w:t>Section 3: Authorised Treatment Technologies, page 2</w:t>
      </w:r>
      <w:r w:rsidR="00612A28">
        <w:rPr>
          <w:i/>
          <w:color w:val="7030A0"/>
        </w:rPr>
        <w:t>7</w:t>
      </w:r>
    </w:p>
    <w:p w:rsidR="009C4736" w:rsidRDefault="009C4736" w:rsidP="009C4736">
      <w:pPr>
        <w:spacing w:line="240" w:lineRule="auto"/>
      </w:pPr>
      <w:r w:rsidRPr="009C4736">
        <w:t>If a deployment application includes technologies that are not in the permit, operators will either have to remove these technologies from their deployment application or apply to vary their permit.</w:t>
      </w:r>
    </w:p>
    <w:p w:rsidR="00612A28" w:rsidRDefault="009C4736" w:rsidP="009C4736">
      <w:pPr>
        <w:spacing w:line="240" w:lineRule="auto"/>
        <w:rPr>
          <w:i/>
          <w:color w:val="7030A0"/>
        </w:rPr>
      </w:pPr>
      <w:r>
        <w:rPr>
          <w:i/>
          <w:color w:val="7030A0"/>
        </w:rPr>
        <w:t>Section 3: Techn</w:t>
      </w:r>
      <w:r w:rsidR="00612A28">
        <w:rPr>
          <w:i/>
          <w:color w:val="7030A0"/>
        </w:rPr>
        <w:t>ically Competent Manager, page 28</w:t>
      </w:r>
    </w:p>
    <w:p w:rsidR="009C4736" w:rsidRDefault="009C4736" w:rsidP="009C4736">
      <w:pPr>
        <w:spacing w:line="240" w:lineRule="auto"/>
      </w:pPr>
      <w:r>
        <w:t>The environmental regulator may need to contact the technically competent manager (TCM) during compliance inspections on the site</w:t>
      </w:r>
      <w:r w:rsidR="00A07706">
        <w:t>,</w:t>
      </w:r>
      <w:r>
        <w:t xml:space="preserve"> so the following information must be provided to them:</w:t>
      </w:r>
    </w:p>
    <w:p w:rsidR="009C4736" w:rsidRDefault="009C4736" w:rsidP="009C4736">
      <w:pPr>
        <w:pStyle w:val="ListParagraph"/>
        <w:numPr>
          <w:ilvl w:val="0"/>
          <w:numId w:val="20"/>
        </w:numPr>
        <w:spacing w:line="240" w:lineRule="auto"/>
      </w:pPr>
      <w:r>
        <w:t>Name</w:t>
      </w:r>
    </w:p>
    <w:p w:rsidR="009C4736" w:rsidRDefault="009C4736" w:rsidP="009C4736">
      <w:pPr>
        <w:pStyle w:val="ListParagraph"/>
        <w:numPr>
          <w:ilvl w:val="0"/>
          <w:numId w:val="20"/>
        </w:numPr>
        <w:spacing w:line="240" w:lineRule="auto"/>
      </w:pPr>
      <w:r>
        <w:t>Date of Birth</w:t>
      </w:r>
    </w:p>
    <w:p w:rsidR="009C4736" w:rsidRDefault="009C4736" w:rsidP="009C4736">
      <w:pPr>
        <w:pStyle w:val="ListParagraph"/>
        <w:numPr>
          <w:ilvl w:val="0"/>
          <w:numId w:val="20"/>
        </w:numPr>
        <w:spacing w:line="240" w:lineRule="auto"/>
      </w:pPr>
      <w:r>
        <w:t>Contact details</w:t>
      </w:r>
    </w:p>
    <w:p w:rsidR="009C4736" w:rsidRPr="009C4736" w:rsidRDefault="009C4736" w:rsidP="00972763">
      <w:pPr>
        <w:pStyle w:val="ListParagraph"/>
        <w:numPr>
          <w:ilvl w:val="0"/>
          <w:numId w:val="20"/>
        </w:numPr>
        <w:spacing w:line="240" w:lineRule="auto"/>
      </w:pPr>
      <w:r>
        <w:t>Award certificate</w:t>
      </w:r>
    </w:p>
    <w:p w:rsidR="009C4736" w:rsidRDefault="009C4736" w:rsidP="009C4736">
      <w:pPr>
        <w:spacing w:line="240" w:lineRule="auto"/>
        <w:rPr>
          <w:i/>
          <w:color w:val="7030A0"/>
        </w:rPr>
      </w:pPr>
      <w:r>
        <w:rPr>
          <w:i/>
          <w:color w:val="7030A0"/>
        </w:rPr>
        <w:t>Section</w:t>
      </w:r>
      <w:r w:rsidR="00612A28">
        <w:rPr>
          <w:i/>
          <w:color w:val="7030A0"/>
        </w:rPr>
        <w:t xml:space="preserve"> 3: Deployment Form MPP2, page 29</w:t>
      </w:r>
    </w:p>
    <w:p w:rsidR="009C4736" w:rsidRPr="00C234AC" w:rsidRDefault="009C4736" w:rsidP="00972763">
      <w:r w:rsidRPr="00C234AC">
        <w:t>If an operator needs to extend their deployment, they must complete a deployment form with the previous reference and evidence for why the treatment period needs extending.</w:t>
      </w:r>
    </w:p>
    <w:p w:rsidR="00EE3C26" w:rsidRDefault="00EE3C26" w:rsidP="009C4736">
      <w:pPr>
        <w:spacing w:line="240" w:lineRule="auto"/>
        <w:rPr>
          <w:i/>
          <w:color w:val="7030A0"/>
        </w:rPr>
      </w:pPr>
    </w:p>
    <w:p w:rsidR="00EE3C26" w:rsidRDefault="00EE3C26" w:rsidP="009C4736">
      <w:pPr>
        <w:spacing w:line="240" w:lineRule="auto"/>
        <w:rPr>
          <w:i/>
          <w:color w:val="7030A0"/>
        </w:rPr>
      </w:pPr>
    </w:p>
    <w:p w:rsidR="009C4736" w:rsidRDefault="009C4736" w:rsidP="009C4736">
      <w:pPr>
        <w:spacing w:line="240" w:lineRule="auto"/>
        <w:rPr>
          <w:i/>
          <w:color w:val="7030A0"/>
        </w:rPr>
      </w:pPr>
      <w:r>
        <w:rPr>
          <w:i/>
          <w:color w:val="7030A0"/>
        </w:rPr>
        <w:lastRenderedPageBreak/>
        <w:t>Section 4: Storing Liquids and Remediation Activities, page 3</w:t>
      </w:r>
      <w:r w:rsidR="00612A28">
        <w:rPr>
          <w:i/>
          <w:color w:val="7030A0"/>
        </w:rPr>
        <w:t>2</w:t>
      </w:r>
    </w:p>
    <w:p w:rsidR="009C4736" w:rsidRDefault="009C4736" w:rsidP="009C4736">
      <w:r>
        <w:t>Sumps and bunds must:</w:t>
      </w:r>
    </w:p>
    <w:p w:rsidR="009C4736" w:rsidRDefault="009C4736" w:rsidP="009C4736">
      <w:pPr>
        <w:pStyle w:val="ListParagraph"/>
        <w:numPr>
          <w:ilvl w:val="0"/>
          <w:numId w:val="21"/>
        </w:numPr>
      </w:pPr>
      <w:r>
        <w:t>Be waterproof.</w:t>
      </w:r>
    </w:p>
    <w:p w:rsidR="009C4736" w:rsidRDefault="009C4736" w:rsidP="009C4736">
      <w:pPr>
        <w:pStyle w:val="ListParagraph"/>
        <w:numPr>
          <w:ilvl w:val="0"/>
          <w:numId w:val="21"/>
        </w:numPr>
      </w:pPr>
      <w:r>
        <w:t>Be resistant to any material stored in them.</w:t>
      </w:r>
    </w:p>
    <w:p w:rsidR="009C4736" w:rsidRDefault="009C4736" w:rsidP="009C4736">
      <w:pPr>
        <w:pStyle w:val="ListParagraph"/>
        <w:numPr>
          <w:ilvl w:val="0"/>
          <w:numId w:val="21"/>
        </w:numPr>
      </w:pPr>
      <w:r>
        <w:t>Not become contaminated or blocked.</w:t>
      </w:r>
    </w:p>
    <w:p w:rsidR="009C4736" w:rsidRDefault="009C4736" w:rsidP="009C4736">
      <w:pPr>
        <w:pStyle w:val="ListParagraph"/>
        <w:numPr>
          <w:ilvl w:val="0"/>
          <w:numId w:val="21"/>
        </w:numPr>
      </w:pPr>
      <w:r>
        <w:t>Be checked regularly to ensure they are working correctly.</w:t>
      </w:r>
    </w:p>
    <w:p w:rsidR="009C4736" w:rsidRDefault="009C4736" w:rsidP="009C4736">
      <w:pPr>
        <w:pStyle w:val="ListParagraph"/>
        <w:numPr>
          <w:ilvl w:val="0"/>
          <w:numId w:val="21"/>
        </w:numPr>
      </w:pPr>
      <w:r>
        <w:t>Have no outlets.</w:t>
      </w:r>
    </w:p>
    <w:p w:rsidR="009C4736" w:rsidRDefault="009C4736" w:rsidP="009C4736">
      <w:pPr>
        <w:pStyle w:val="ListParagraph"/>
        <w:numPr>
          <w:ilvl w:val="0"/>
          <w:numId w:val="21"/>
        </w:numPr>
      </w:pPr>
      <w:r>
        <w:t>Drain to a blind collection point.</w:t>
      </w:r>
    </w:p>
    <w:p w:rsidR="009C4736" w:rsidRDefault="009C4736" w:rsidP="009C4736">
      <w:pPr>
        <w:spacing w:line="240" w:lineRule="auto"/>
      </w:pPr>
      <w:r>
        <w:t>Examples of approved treatment technologies under SR2008 No27 include:</w:t>
      </w:r>
    </w:p>
    <w:p w:rsidR="009C4736" w:rsidRDefault="009C4736" w:rsidP="009C4736">
      <w:pPr>
        <w:pStyle w:val="ListParagraph"/>
        <w:numPr>
          <w:ilvl w:val="0"/>
          <w:numId w:val="22"/>
        </w:numPr>
        <w:spacing w:line="240" w:lineRule="auto"/>
      </w:pPr>
      <w:r>
        <w:t xml:space="preserve">Air </w:t>
      </w:r>
      <w:proofErr w:type="spellStart"/>
      <w:r>
        <w:t>sparging</w:t>
      </w:r>
      <w:proofErr w:type="spellEnd"/>
    </w:p>
    <w:p w:rsidR="009C4736" w:rsidRDefault="009C4736" w:rsidP="009C4736">
      <w:pPr>
        <w:pStyle w:val="ListParagraph"/>
        <w:numPr>
          <w:ilvl w:val="0"/>
          <w:numId w:val="22"/>
        </w:numPr>
        <w:spacing w:line="240" w:lineRule="auto"/>
      </w:pPr>
      <w:r>
        <w:t xml:space="preserve">Bioremediation </w:t>
      </w:r>
    </w:p>
    <w:p w:rsidR="009C4736" w:rsidRDefault="009C4736" w:rsidP="009C4736">
      <w:pPr>
        <w:pStyle w:val="ListParagraph"/>
        <w:numPr>
          <w:ilvl w:val="0"/>
          <w:numId w:val="22"/>
        </w:numPr>
        <w:spacing w:line="240" w:lineRule="auto"/>
      </w:pPr>
      <w:proofErr w:type="spellStart"/>
      <w:r>
        <w:t>Biosparging</w:t>
      </w:r>
      <w:proofErr w:type="spellEnd"/>
    </w:p>
    <w:p w:rsidR="009C4736" w:rsidRDefault="009C4736" w:rsidP="009C4736">
      <w:pPr>
        <w:pStyle w:val="ListParagraph"/>
        <w:numPr>
          <w:ilvl w:val="0"/>
          <w:numId w:val="22"/>
        </w:numPr>
        <w:spacing w:line="240" w:lineRule="auto"/>
      </w:pPr>
      <w:r>
        <w:t>Bioventing</w:t>
      </w:r>
    </w:p>
    <w:p w:rsidR="009C4736" w:rsidRDefault="009C4736" w:rsidP="009C4736">
      <w:pPr>
        <w:pStyle w:val="ListParagraph"/>
        <w:numPr>
          <w:ilvl w:val="0"/>
          <w:numId w:val="22"/>
        </w:numPr>
        <w:spacing w:line="240" w:lineRule="auto"/>
      </w:pPr>
      <w:r>
        <w:t>Chemical treatment</w:t>
      </w:r>
    </w:p>
    <w:p w:rsidR="009C4736" w:rsidRDefault="009C4736" w:rsidP="009C4736">
      <w:pPr>
        <w:pStyle w:val="ListParagraph"/>
        <w:numPr>
          <w:ilvl w:val="0"/>
          <w:numId w:val="22"/>
        </w:numPr>
        <w:spacing w:line="240" w:lineRule="auto"/>
      </w:pPr>
      <w:r>
        <w:t>Thermal treatment</w:t>
      </w:r>
    </w:p>
    <w:p w:rsidR="009C4736" w:rsidRDefault="009C4736" w:rsidP="009C4736">
      <w:pPr>
        <w:pStyle w:val="ListParagraph"/>
        <w:numPr>
          <w:ilvl w:val="0"/>
          <w:numId w:val="22"/>
        </w:numPr>
        <w:spacing w:line="240" w:lineRule="auto"/>
      </w:pPr>
      <w:r>
        <w:t>Soil washing</w:t>
      </w:r>
    </w:p>
    <w:p w:rsidR="009C4736" w:rsidRDefault="009C4736" w:rsidP="009C4736">
      <w:pPr>
        <w:pStyle w:val="ListParagraph"/>
        <w:numPr>
          <w:ilvl w:val="0"/>
          <w:numId w:val="22"/>
        </w:numPr>
        <w:spacing w:line="240" w:lineRule="auto"/>
      </w:pPr>
      <w:r>
        <w:t>Soil flushing</w:t>
      </w:r>
    </w:p>
    <w:p w:rsidR="009C4736" w:rsidRDefault="009C4736" w:rsidP="009C4736">
      <w:pPr>
        <w:pStyle w:val="ListParagraph"/>
        <w:numPr>
          <w:ilvl w:val="0"/>
          <w:numId w:val="22"/>
        </w:numPr>
        <w:spacing w:line="240" w:lineRule="auto"/>
      </w:pPr>
      <w:r>
        <w:t>Solidification</w:t>
      </w:r>
    </w:p>
    <w:p w:rsidR="009C4736" w:rsidRPr="00512691" w:rsidRDefault="009C4736" w:rsidP="009C4736">
      <w:pPr>
        <w:pStyle w:val="ListParagraph"/>
        <w:numPr>
          <w:ilvl w:val="0"/>
          <w:numId w:val="22"/>
        </w:numPr>
        <w:spacing w:line="240" w:lineRule="auto"/>
      </w:pPr>
      <w:r>
        <w:t>Stabilisation</w:t>
      </w:r>
    </w:p>
    <w:p w:rsidR="009C4736" w:rsidRPr="009C4736" w:rsidRDefault="009C4736" w:rsidP="009C4736">
      <w:pPr>
        <w:spacing w:line="240" w:lineRule="auto"/>
        <w:rPr>
          <w:i/>
          <w:color w:val="7030A0"/>
        </w:rPr>
      </w:pPr>
      <w:r w:rsidRPr="009C4736">
        <w:rPr>
          <w:i/>
          <w:color w:val="7030A0"/>
        </w:rPr>
        <w:t xml:space="preserve">Section </w:t>
      </w:r>
      <w:r>
        <w:rPr>
          <w:i/>
          <w:color w:val="7030A0"/>
        </w:rPr>
        <w:t>5</w:t>
      </w:r>
      <w:r w:rsidRPr="009C4736">
        <w:rPr>
          <w:i/>
          <w:color w:val="7030A0"/>
        </w:rPr>
        <w:t xml:space="preserve">: </w:t>
      </w:r>
      <w:r>
        <w:rPr>
          <w:i/>
          <w:color w:val="7030A0"/>
        </w:rPr>
        <w:t>Landfill</w:t>
      </w:r>
      <w:r w:rsidRPr="009C4736">
        <w:rPr>
          <w:i/>
          <w:color w:val="7030A0"/>
        </w:rPr>
        <w:t>, page 3</w:t>
      </w:r>
      <w:r w:rsidR="00612A28">
        <w:rPr>
          <w:i/>
          <w:color w:val="7030A0"/>
        </w:rPr>
        <w:t>6</w:t>
      </w:r>
    </w:p>
    <w:p w:rsidR="009C4736" w:rsidRPr="00C234AC" w:rsidRDefault="009C4736" w:rsidP="009C4736">
      <w:pPr>
        <w:numPr>
          <w:ilvl w:val="0"/>
          <w:numId w:val="23"/>
        </w:numPr>
        <w:spacing w:after="0" w:line="240" w:lineRule="auto"/>
      </w:pPr>
      <w:r w:rsidRPr="00C234AC">
        <w:t>Anyone intending to transfer waste must check whether a person or business is authorised to take it. An authorised person is:</w:t>
      </w:r>
    </w:p>
    <w:p w:rsidR="009C4736" w:rsidRPr="00C234AC" w:rsidRDefault="009C4736" w:rsidP="009C4736">
      <w:pPr>
        <w:numPr>
          <w:ilvl w:val="1"/>
          <w:numId w:val="23"/>
        </w:numPr>
        <w:spacing w:after="0" w:line="240" w:lineRule="auto"/>
      </w:pPr>
      <w:r w:rsidRPr="00C234AC">
        <w:t>Someone who has a valid registration as a carrier, broker or dealer of waste.</w:t>
      </w:r>
    </w:p>
    <w:p w:rsidR="009C4736" w:rsidRPr="00C234AC" w:rsidRDefault="009C4736" w:rsidP="009C4736">
      <w:pPr>
        <w:numPr>
          <w:ilvl w:val="1"/>
          <w:numId w:val="23"/>
        </w:numPr>
        <w:spacing w:after="0" w:line="240" w:lineRule="auto"/>
      </w:pPr>
      <w:r w:rsidRPr="00C234AC">
        <w:t>A waste management operator who has a permit or registered exemption.</w:t>
      </w:r>
    </w:p>
    <w:p w:rsidR="009C4736" w:rsidRDefault="009C4736" w:rsidP="009C4736">
      <w:pPr>
        <w:pStyle w:val="ListParagraph"/>
        <w:numPr>
          <w:ilvl w:val="0"/>
          <w:numId w:val="23"/>
        </w:numPr>
        <w:spacing w:line="240" w:lineRule="auto"/>
      </w:pPr>
      <w:r w:rsidRPr="00C234AC">
        <w:t xml:space="preserve">Someone looking to transfer waste can ask the business or person they are planning to transfer it to for </w:t>
      </w:r>
      <w:r>
        <w:t xml:space="preserve">evidence of their authorisation, such as a copy of their permit or proof of their exemption registration. </w:t>
      </w:r>
    </w:p>
    <w:p w:rsidR="00C117E7" w:rsidRDefault="00C117E7" w:rsidP="00FD3C07">
      <w:pPr>
        <w:spacing w:line="240" w:lineRule="auto"/>
      </w:pPr>
    </w:p>
    <w:p w:rsidR="00C117E7" w:rsidRDefault="00C117E7" w:rsidP="00FD3C07">
      <w:pPr>
        <w:spacing w:line="240" w:lineRule="auto"/>
      </w:pPr>
    </w:p>
    <w:p w:rsidR="00A960A7" w:rsidRDefault="00A960A7" w:rsidP="009C4736">
      <w:pPr>
        <w:pStyle w:val="ListParagraph"/>
        <w:numPr>
          <w:ilvl w:val="0"/>
          <w:numId w:val="23"/>
        </w:numPr>
        <w:spacing w:line="240" w:lineRule="auto"/>
      </w:pPr>
    </w:p>
    <w:p w:rsidR="00A960A7" w:rsidRDefault="00A960A7" w:rsidP="00A960A7">
      <w:pPr>
        <w:pStyle w:val="ListParagraph"/>
        <w:spacing w:line="240" w:lineRule="auto"/>
        <w:ind w:left="360"/>
      </w:pPr>
    </w:p>
    <w:p w:rsidR="009C4736" w:rsidRDefault="009C4736" w:rsidP="009C4736">
      <w:pPr>
        <w:pStyle w:val="ListParagraph"/>
        <w:numPr>
          <w:ilvl w:val="0"/>
          <w:numId w:val="23"/>
        </w:numPr>
        <w:spacing w:line="240" w:lineRule="auto"/>
      </w:pPr>
      <w:r>
        <w:t>Further more, it is possible to use the public register to check information on:</w:t>
      </w:r>
    </w:p>
    <w:p w:rsidR="009C4736" w:rsidRDefault="009C4736" w:rsidP="009C4736">
      <w:pPr>
        <w:pStyle w:val="ListParagraph"/>
        <w:numPr>
          <w:ilvl w:val="1"/>
          <w:numId w:val="23"/>
        </w:numPr>
        <w:spacing w:line="240" w:lineRule="auto"/>
      </w:pPr>
      <w:r>
        <w:t>Waste carrier, broker and dealer registrations.</w:t>
      </w:r>
    </w:p>
    <w:p w:rsidR="009C4736" w:rsidRDefault="009C4736" w:rsidP="009C4736">
      <w:pPr>
        <w:pStyle w:val="ListParagraph"/>
        <w:numPr>
          <w:ilvl w:val="1"/>
          <w:numId w:val="23"/>
        </w:numPr>
        <w:spacing w:line="240" w:lineRule="auto"/>
      </w:pPr>
      <w:r>
        <w:t>Environmental permits for waste operations.</w:t>
      </w:r>
    </w:p>
    <w:p w:rsidR="009C4736" w:rsidRPr="009C4736" w:rsidRDefault="009C4736" w:rsidP="009C4736">
      <w:pPr>
        <w:pStyle w:val="ListParagraph"/>
        <w:numPr>
          <w:ilvl w:val="1"/>
          <w:numId w:val="23"/>
        </w:numPr>
        <w:spacing w:line="240" w:lineRule="auto"/>
      </w:pPr>
      <w:r>
        <w:t>Waste exemptions.</w:t>
      </w:r>
    </w:p>
    <w:p w:rsidR="009C4736" w:rsidRPr="009C4736" w:rsidRDefault="009C4736" w:rsidP="009C4736">
      <w:pPr>
        <w:spacing w:line="240" w:lineRule="auto"/>
      </w:pPr>
      <w:r w:rsidRPr="009C4736">
        <w:t>The Landfill Directive sets rigorous standards to reduce both our reliance on landfill and the environmental impact of wastes disposed of by landfill.</w:t>
      </w:r>
    </w:p>
    <w:p w:rsidR="009C4736" w:rsidRPr="009C4736" w:rsidRDefault="009C4736" w:rsidP="009C4736">
      <w:pPr>
        <w:spacing w:line="240" w:lineRule="auto"/>
        <w:rPr>
          <w:i/>
          <w:color w:val="7030A0"/>
        </w:rPr>
      </w:pPr>
      <w:r w:rsidRPr="009C4736">
        <w:t>The Landfill Directive states “the dilution or mixture of waste solely in order to meet the waste acceptance criteria is prohibited</w:t>
      </w:r>
      <w:r w:rsidR="00A74AA7">
        <w:t>.</w:t>
      </w:r>
      <w:r w:rsidRPr="009C4736">
        <w:t>”</w:t>
      </w:r>
    </w:p>
    <w:p w:rsidR="00612A28" w:rsidRDefault="009C4736" w:rsidP="009C4736">
      <w:pPr>
        <w:spacing w:line="240" w:lineRule="auto"/>
        <w:rPr>
          <w:i/>
          <w:color w:val="7030A0"/>
        </w:rPr>
      </w:pPr>
      <w:r w:rsidRPr="009C4736">
        <w:rPr>
          <w:i/>
          <w:color w:val="7030A0"/>
        </w:rPr>
        <w:t xml:space="preserve">Section </w:t>
      </w:r>
      <w:r>
        <w:rPr>
          <w:i/>
          <w:color w:val="7030A0"/>
        </w:rPr>
        <w:t>5</w:t>
      </w:r>
      <w:r w:rsidRPr="009C4736">
        <w:rPr>
          <w:i/>
          <w:color w:val="7030A0"/>
        </w:rPr>
        <w:t xml:space="preserve">: </w:t>
      </w:r>
      <w:r w:rsidR="00D772F7">
        <w:rPr>
          <w:i/>
          <w:color w:val="7030A0"/>
        </w:rPr>
        <w:t>Characterising and Disposing of Soils</w:t>
      </w:r>
      <w:r w:rsidRPr="009C4736">
        <w:rPr>
          <w:i/>
          <w:color w:val="7030A0"/>
        </w:rPr>
        <w:t xml:space="preserve">, page </w:t>
      </w:r>
      <w:r w:rsidR="00612A28">
        <w:rPr>
          <w:i/>
          <w:color w:val="7030A0"/>
        </w:rPr>
        <w:t>37</w:t>
      </w:r>
    </w:p>
    <w:p w:rsidR="009C4736" w:rsidRPr="009C4736" w:rsidRDefault="009C4736" w:rsidP="009C4736">
      <w:pPr>
        <w:spacing w:line="240" w:lineRule="auto"/>
        <w:rPr>
          <w:i/>
          <w:color w:val="7030A0"/>
        </w:rPr>
      </w:pPr>
      <w:r w:rsidRPr="009C4736">
        <w:t>The environmental regulator requires operators to ensure that chemical analysis results submitted for regulatory purposes conform to MCERTS requirements and have MCERTS accreditation for all parameters requested.</w:t>
      </w:r>
    </w:p>
    <w:p w:rsidR="009C4736" w:rsidRDefault="009C4736" w:rsidP="009C4736">
      <w:pPr>
        <w:spacing w:line="240" w:lineRule="auto"/>
        <w:rPr>
          <w:i/>
          <w:color w:val="7030A0"/>
        </w:rPr>
      </w:pPr>
      <w:r w:rsidRPr="009C4736">
        <w:rPr>
          <w:i/>
          <w:color w:val="7030A0"/>
        </w:rPr>
        <w:t xml:space="preserve">Section </w:t>
      </w:r>
      <w:r>
        <w:rPr>
          <w:i/>
          <w:color w:val="7030A0"/>
        </w:rPr>
        <w:t>5</w:t>
      </w:r>
      <w:r w:rsidRPr="009C4736">
        <w:rPr>
          <w:i/>
          <w:color w:val="7030A0"/>
        </w:rPr>
        <w:t xml:space="preserve">: </w:t>
      </w:r>
      <w:r>
        <w:rPr>
          <w:i/>
          <w:color w:val="7030A0"/>
        </w:rPr>
        <w:t>Mirror Entries</w:t>
      </w:r>
      <w:r w:rsidRPr="009C4736">
        <w:rPr>
          <w:i/>
          <w:color w:val="7030A0"/>
        </w:rPr>
        <w:t xml:space="preserve">, page </w:t>
      </w:r>
      <w:r w:rsidR="00612A28">
        <w:rPr>
          <w:i/>
          <w:color w:val="7030A0"/>
        </w:rPr>
        <w:t>38</w:t>
      </w:r>
    </w:p>
    <w:p w:rsidR="009C4736" w:rsidRPr="009C4736" w:rsidRDefault="009C4736" w:rsidP="009C4736">
      <w:pPr>
        <w:spacing w:line="240" w:lineRule="auto"/>
        <w:rPr>
          <w:i/>
          <w:color w:val="7030A0"/>
        </w:rPr>
      </w:pPr>
      <w:r>
        <w:t>A hazardous waste entry is marked with an asterisk (*)</w:t>
      </w:r>
      <w:r w:rsidR="007318DA">
        <w:t xml:space="preserve"> </w:t>
      </w:r>
      <w:r>
        <w:t>while a non-hazardous entry is not.</w:t>
      </w:r>
    </w:p>
    <w:p w:rsidR="00472925" w:rsidRDefault="00472925" w:rsidP="009C4736">
      <w:pPr>
        <w:spacing w:line="240" w:lineRule="auto"/>
      </w:pPr>
      <w:r>
        <w:rPr>
          <w:i/>
          <w:color w:val="7030A0"/>
        </w:rPr>
        <w:t>NEW Learning Outcome 5.9: Know how to manage asbestos on site including identification, options for reuse and offsite disposal.</w:t>
      </w:r>
    </w:p>
    <w:p w:rsidR="009C4736" w:rsidRDefault="007318DA" w:rsidP="009C4736">
      <w:pPr>
        <w:spacing w:line="240" w:lineRule="auto"/>
      </w:pPr>
      <w:r>
        <w:t>Operators w</w:t>
      </w:r>
      <w:r w:rsidR="009C4736">
        <w:t>orking with asbestos should comply with the requirements of the Control of Asbestos Regulations 2012 which help prevent and control exposure to asbestos by ensuring:</w:t>
      </w:r>
    </w:p>
    <w:p w:rsidR="009C4736" w:rsidRPr="00906186" w:rsidRDefault="009C4736" w:rsidP="009C4736">
      <w:pPr>
        <w:pStyle w:val="ListParagraph"/>
        <w:numPr>
          <w:ilvl w:val="0"/>
          <w:numId w:val="24"/>
        </w:numPr>
        <w:spacing w:line="240" w:lineRule="auto"/>
      </w:pPr>
      <w:r>
        <w:t>R</w:t>
      </w:r>
      <w:r w:rsidRPr="00906186">
        <w:t>isk assessment</w:t>
      </w:r>
      <w:r>
        <w:t>s are carried out</w:t>
      </w:r>
    </w:p>
    <w:p w:rsidR="009C4736" w:rsidRPr="00906186" w:rsidRDefault="009C4736" w:rsidP="009C4736">
      <w:pPr>
        <w:pStyle w:val="ListParagraph"/>
        <w:numPr>
          <w:ilvl w:val="0"/>
          <w:numId w:val="24"/>
        </w:numPr>
        <w:spacing w:line="240" w:lineRule="auto"/>
      </w:pPr>
      <w:r>
        <w:t>Work is adequately planned</w:t>
      </w:r>
    </w:p>
    <w:p w:rsidR="009C4736" w:rsidRPr="00906186" w:rsidRDefault="009C4736" w:rsidP="009C4736">
      <w:pPr>
        <w:pStyle w:val="ListParagraph"/>
        <w:numPr>
          <w:ilvl w:val="0"/>
          <w:numId w:val="24"/>
        </w:numPr>
        <w:spacing w:line="240" w:lineRule="auto"/>
      </w:pPr>
      <w:r>
        <w:t>A</w:t>
      </w:r>
      <w:r w:rsidRPr="00906186">
        <w:t xml:space="preserve">ppropriate information, instruction and training </w:t>
      </w:r>
      <w:r>
        <w:t xml:space="preserve">is provided </w:t>
      </w:r>
      <w:r w:rsidRPr="00906186">
        <w:t>to workers</w:t>
      </w:r>
    </w:p>
    <w:p w:rsidR="009C4736" w:rsidRPr="00906186" w:rsidRDefault="009C4736" w:rsidP="009C4736">
      <w:pPr>
        <w:pStyle w:val="ListParagraph"/>
        <w:numPr>
          <w:ilvl w:val="0"/>
          <w:numId w:val="24"/>
        </w:numPr>
        <w:spacing w:line="240" w:lineRule="auto"/>
      </w:pPr>
      <w:r>
        <w:t>M</w:t>
      </w:r>
      <w:r w:rsidRPr="00906186">
        <w:t xml:space="preserve">easures </w:t>
      </w:r>
      <w:r>
        <w:t xml:space="preserve">have been taken </w:t>
      </w:r>
      <w:r w:rsidRPr="00906186">
        <w:t>to prevent exposure and prevent the spread of asbestos.</w:t>
      </w:r>
    </w:p>
    <w:p w:rsidR="009C4736" w:rsidRDefault="009C4736" w:rsidP="00972763"/>
    <w:p w:rsidR="00A960A7" w:rsidRDefault="00A960A7" w:rsidP="009C4736">
      <w:pPr>
        <w:spacing w:line="240" w:lineRule="auto"/>
        <w:rPr>
          <w:i/>
          <w:color w:val="7030A0"/>
        </w:rPr>
      </w:pPr>
    </w:p>
    <w:p w:rsidR="009C4736" w:rsidRDefault="009C4736" w:rsidP="009C4736">
      <w:pPr>
        <w:spacing w:line="240" w:lineRule="auto"/>
        <w:rPr>
          <w:i/>
          <w:color w:val="7030A0"/>
        </w:rPr>
      </w:pPr>
      <w:bookmarkStart w:id="0" w:name="_GoBack"/>
      <w:bookmarkEnd w:id="0"/>
      <w:r w:rsidRPr="009C4736">
        <w:rPr>
          <w:i/>
          <w:color w:val="7030A0"/>
        </w:rPr>
        <w:t xml:space="preserve">Section </w:t>
      </w:r>
      <w:r>
        <w:rPr>
          <w:i/>
          <w:color w:val="7030A0"/>
        </w:rPr>
        <w:t>6</w:t>
      </w:r>
      <w:r w:rsidRPr="009C4736">
        <w:rPr>
          <w:i/>
          <w:color w:val="7030A0"/>
        </w:rPr>
        <w:t xml:space="preserve">: </w:t>
      </w:r>
      <w:r>
        <w:rPr>
          <w:i/>
          <w:color w:val="7030A0"/>
        </w:rPr>
        <w:t>Dust</w:t>
      </w:r>
      <w:r w:rsidRPr="009C4736">
        <w:rPr>
          <w:i/>
          <w:color w:val="7030A0"/>
        </w:rPr>
        <w:t xml:space="preserve">, page </w:t>
      </w:r>
      <w:r>
        <w:rPr>
          <w:i/>
          <w:color w:val="7030A0"/>
        </w:rPr>
        <w:t>4</w:t>
      </w:r>
      <w:r w:rsidR="00612A28">
        <w:rPr>
          <w:i/>
          <w:color w:val="7030A0"/>
        </w:rPr>
        <w:t>2</w:t>
      </w:r>
    </w:p>
    <w:p w:rsidR="009C4736" w:rsidRDefault="009C4736" w:rsidP="009C4736">
      <w:r>
        <w:rPr>
          <w:b/>
        </w:rPr>
        <w:t xml:space="preserve">Emissions </w:t>
      </w:r>
      <w:r>
        <w:t>are anything that leaves a site and can:</w:t>
      </w:r>
    </w:p>
    <w:p w:rsidR="009C4736" w:rsidRDefault="009C4736" w:rsidP="00C234AC">
      <w:pPr>
        <w:pStyle w:val="ListParagraph"/>
        <w:numPr>
          <w:ilvl w:val="0"/>
          <w:numId w:val="29"/>
        </w:numPr>
      </w:pPr>
      <w:r w:rsidRPr="007E1667">
        <w:t>Pollute</w:t>
      </w:r>
      <w:r>
        <w:t xml:space="preserve"> the air, land or water.</w:t>
      </w:r>
    </w:p>
    <w:p w:rsidR="009C4736" w:rsidRDefault="009C4736" w:rsidP="00C234AC">
      <w:pPr>
        <w:pStyle w:val="ListParagraph"/>
        <w:numPr>
          <w:ilvl w:val="0"/>
          <w:numId w:val="29"/>
        </w:numPr>
      </w:pPr>
      <w:r>
        <w:t>Affect the human population.</w:t>
      </w:r>
    </w:p>
    <w:p w:rsidR="009C4736" w:rsidRPr="007E1667" w:rsidRDefault="009C4736" w:rsidP="00C234AC">
      <w:pPr>
        <w:pStyle w:val="ListParagraph"/>
        <w:numPr>
          <w:ilvl w:val="0"/>
          <w:numId w:val="29"/>
        </w:numPr>
      </w:pPr>
      <w:r>
        <w:t>Affect other receptors (e.g. habitat sites).</w:t>
      </w:r>
      <w:r w:rsidRPr="007E1667">
        <w:t xml:space="preserve"> </w:t>
      </w:r>
    </w:p>
    <w:p w:rsidR="009C4736" w:rsidRPr="009C4736" w:rsidRDefault="009C4736" w:rsidP="00972763">
      <w:r w:rsidRPr="009C4736">
        <w:t>To prevent the spread of dust, mud and litter operators can:</w:t>
      </w:r>
    </w:p>
    <w:p w:rsidR="009C4736" w:rsidRPr="009C4736" w:rsidRDefault="009C4736" w:rsidP="009C4736">
      <w:pPr>
        <w:pStyle w:val="ListParagraph"/>
        <w:numPr>
          <w:ilvl w:val="0"/>
          <w:numId w:val="26"/>
        </w:numPr>
      </w:pPr>
      <w:r w:rsidRPr="009C4736">
        <w:t>Carry out operations inside buildings.</w:t>
      </w:r>
    </w:p>
    <w:p w:rsidR="009C4736" w:rsidRPr="009C4736" w:rsidRDefault="009C4736" w:rsidP="009C4736">
      <w:pPr>
        <w:pStyle w:val="ListParagraph"/>
        <w:numPr>
          <w:ilvl w:val="0"/>
          <w:numId w:val="26"/>
        </w:numPr>
      </w:pPr>
      <w:r w:rsidRPr="009C4736">
        <w:t>Erect fences.</w:t>
      </w:r>
    </w:p>
    <w:p w:rsidR="009C4736" w:rsidRPr="009C4736" w:rsidRDefault="009C4736" w:rsidP="009C4736">
      <w:pPr>
        <w:pStyle w:val="ListParagraph"/>
        <w:numPr>
          <w:ilvl w:val="0"/>
          <w:numId w:val="26"/>
        </w:numPr>
      </w:pPr>
      <w:r w:rsidRPr="009C4736">
        <w:t>Install filters.</w:t>
      </w:r>
    </w:p>
    <w:p w:rsidR="009C4736" w:rsidRPr="009C4736" w:rsidRDefault="009C4736" w:rsidP="009C4736">
      <w:pPr>
        <w:pStyle w:val="ListParagraph"/>
        <w:numPr>
          <w:ilvl w:val="0"/>
          <w:numId w:val="26"/>
        </w:numPr>
      </w:pPr>
      <w:r w:rsidRPr="009C4736">
        <w:t>Surface or pave roadways.</w:t>
      </w:r>
    </w:p>
    <w:p w:rsidR="009C4736" w:rsidRPr="009C4736" w:rsidRDefault="009C4736" w:rsidP="009C4736">
      <w:pPr>
        <w:pStyle w:val="ListParagraph"/>
        <w:numPr>
          <w:ilvl w:val="0"/>
          <w:numId w:val="26"/>
        </w:numPr>
      </w:pPr>
      <w:r w:rsidRPr="009C4736">
        <w:t>Regularly clean and dampen roadways and vehicle wheels.</w:t>
      </w:r>
    </w:p>
    <w:p w:rsidR="00612A28" w:rsidRDefault="009C4736" w:rsidP="009C4736">
      <w:pPr>
        <w:spacing w:line="240" w:lineRule="auto"/>
        <w:rPr>
          <w:i/>
          <w:color w:val="7030A0"/>
        </w:rPr>
      </w:pPr>
      <w:r w:rsidRPr="009C4736">
        <w:rPr>
          <w:i/>
          <w:color w:val="7030A0"/>
        </w:rPr>
        <w:t xml:space="preserve">Section 6: </w:t>
      </w:r>
      <w:r w:rsidR="00D65368">
        <w:rPr>
          <w:i/>
          <w:color w:val="7030A0"/>
        </w:rPr>
        <w:t>Odour</w:t>
      </w:r>
      <w:r w:rsidRPr="009C4736">
        <w:rPr>
          <w:i/>
          <w:color w:val="7030A0"/>
        </w:rPr>
        <w:t>, page 4</w:t>
      </w:r>
      <w:r w:rsidR="00612A28">
        <w:rPr>
          <w:i/>
          <w:color w:val="7030A0"/>
        </w:rPr>
        <w:t>3</w:t>
      </w:r>
    </w:p>
    <w:p w:rsidR="00D65368" w:rsidRPr="00D65368" w:rsidRDefault="00D65368" w:rsidP="009C4736">
      <w:pPr>
        <w:spacing w:line="240" w:lineRule="auto"/>
      </w:pPr>
      <w:r w:rsidRPr="00D65368">
        <w:t>The degree of odour pollution is determined by:</w:t>
      </w:r>
    </w:p>
    <w:p w:rsidR="00D65368" w:rsidRPr="00D65368" w:rsidRDefault="00D65368" w:rsidP="00D65368">
      <w:pPr>
        <w:pStyle w:val="ListParagraph"/>
        <w:numPr>
          <w:ilvl w:val="0"/>
          <w:numId w:val="27"/>
        </w:numPr>
        <w:spacing w:line="240" w:lineRule="auto"/>
      </w:pPr>
      <w:r w:rsidRPr="00D65368">
        <w:t>Frequency of detection</w:t>
      </w:r>
    </w:p>
    <w:p w:rsidR="00D65368" w:rsidRPr="00D65368" w:rsidRDefault="00D65368" w:rsidP="00D65368">
      <w:pPr>
        <w:pStyle w:val="ListParagraph"/>
        <w:numPr>
          <w:ilvl w:val="0"/>
          <w:numId w:val="27"/>
        </w:numPr>
        <w:spacing w:line="240" w:lineRule="auto"/>
      </w:pPr>
      <w:r w:rsidRPr="00D65368">
        <w:t>Intensity as perceived</w:t>
      </w:r>
    </w:p>
    <w:p w:rsidR="00D65368" w:rsidRPr="00D65368" w:rsidRDefault="00D65368" w:rsidP="00D65368">
      <w:pPr>
        <w:pStyle w:val="ListParagraph"/>
        <w:numPr>
          <w:ilvl w:val="0"/>
          <w:numId w:val="27"/>
        </w:numPr>
        <w:spacing w:line="240" w:lineRule="auto"/>
      </w:pPr>
      <w:r w:rsidRPr="00D65368">
        <w:t>Duration of exposure</w:t>
      </w:r>
    </w:p>
    <w:p w:rsidR="00D65368" w:rsidRPr="00D65368" w:rsidRDefault="00D65368" w:rsidP="00D65368">
      <w:pPr>
        <w:pStyle w:val="ListParagraph"/>
        <w:numPr>
          <w:ilvl w:val="0"/>
          <w:numId w:val="27"/>
        </w:numPr>
        <w:spacing w:line="240" w:lineRule="auto"/>
      </w:pPr>
      <w:r w:rsidRPr="00D65368">
        <w:t>Offensiveness</w:t>
      </w:r>
    </w:p>
    <w:p w:rsidR="00D65368" w:rsidRPr="00FD3C07" w:rsidRDefault="00D65368" w:rsidP="00D65368">
      <w:pPr>
        <w:pStyle w:val="ListParagraph"/>
        <w:numPr>
          <w:ilvl w:val="0"/>
          <w:numId w:val="27"/>
        </w:numPr>
        <w:spacing w:line="240" w:lineRule="auto"/>
        <w:rPr>
          <w:i/>
        </w:rPr>
      </w:pPr>
      <w:r w:rsidRPr="00C117E7">
        <w:t>Receptor sensitivity</w:t>
      </w:r>
    </w:p>
    <w:p w:rsidR="00D65368" w:rsidRPr="00D65368" w:rsidRDefault="00D65368" w:rsidP="00D65368">
      <w:pPr>
        <w:spacing w:line="240" w:lineRule="auto"/>
        <w:rPr>
          <w:i/>
          <w:color w:val="7030A0"/>
        </w:rPr>
      </w:pPr>
      <w:r w:rsidRPr="00D65368">
        <w:rPr>
          <w:i/>
          <w:color w:val="7030A0"/>
        </w:rPr>
        <w:t xml:space="preserve">Section 6: </w:t>
      </w:r>
      <w:r>
        <w:rPr>
          <w:i/>
          <w:color w:val="7030A0"/>
        </w:rPr>
        <w:t>Noise,</w:t>
      </w:r>
      <w:r w:rsidRPr="00D65368">
        <w:rPr>
          <w:i/>
          <w:color w:val="7030A0"/>
        </w:rPr>
        <w:t xml:space="preserve"> page 4</w:t>
      </w:r>
      <w:r w:rsidR="00612A28">
        <w:rPr>
          <w:i/>
          <w:color w:val="7030A0"/>
        </w:rPr>
        <w:t>4</w:t>
      </w:r>
    </w:p>
    <w:p w:rsidR="009C4736" w:rsidRPr="00D65368" w:rsidRDefault="00D65368" w:rsidP="00972763">
      <w:r w:rsidRPr="00D65368">
        <w:t>The regulator will normally require operators to take action if noise levels are more than 5dB above background noise level according to BS4142.</w:t>
      </w:r>
    </w:p>
    <w:p w:rsidR="00612A28" w:rsidRDefault="00D65368" w:rsidP="00D65368">
      <w:pPr>
        <w:spacing w:line="240" w:lineRule="auto"/>
        <w:rPr>
          <w:i/>
          <w:color w:val="7030A0"/>
        </w:rPr>
      </w:pPr>
      <w:r w:rsidRPr="00D65368">
        <w:rPr>
          <w:i/>
          <w:color w:val="7030A0"/>
        </w:rPr>
        <w:t xml:space="preserve">Section 6: </w:t>
      </w:r>
      <w:r>
        <w:rPr>
          <w:i/>
          <w:color w:val="7030A0"/>
        </w:rPr>
        <w:t>Excavations,</w:t>
      </w:r>
      <w:r w:rsidRPr="00D65368">
        <w:rPr>
          <w:i/>
          <w:color w:val="7030A0"/>
        </w:rPr>
        <w:t xml:space="preserve"> page </w:t>
      </w:r>
      <w:r w:rsidR="00612A28">
        <w:rPr>
          <w:i/>
          <w:color w:val="7030A0"/>
        </w:rPr>
        <w:t>46</w:t>
      </w:r>
    </w:p>
    <w:p w:rsidR="00D65368" w:rsidRDefault="00D65368" w:rsidP="00D65368">
      <w:pPr>
        <w:spacing w:line="240" w:lineRule="auto"/>
      </w:pPr>
      <w:r>
        <w:t>An environmental permit is required if a site discharges liquid or waste water into surface water.</w:t>
      </w:r>
    </w:p>
    <w:p w:rsidR="00D65368" w:rsidRDefault="00D65368" w:rsidP="00D65368">
      <w:pPr>
        <w:spacing w:line="240" w:lineRule="auto"/>
      </w:pPr>
      <w:r>
        <w:t>A bespoke permit is required if water discharge is from ‘pump and treat’ – pumping out contaminated groundwater or water from contaminated land so it can be treated.</w:t>
      </w:r>
    </w:p>
    <w:p w:rsidR="00D65368" w:rsidRDefault="00D65368" w:rsidP="00D65368">
      <w:pPr>
        <w:spacing w:line="240" w:lineRule="auto"/>
      </w:pPr>
    </w:p>
    <w:p w:rsidR="00D65368" w:rsidRPr="00E317DB" w:rsidRDefault="00D65368" w:rsidP="00D65368">
      <w:pPr>
        <w:spacing w:line="240" w:lineRule="auto"/>
        <w:rPr>
          <w:sz w:val="16"/>
        </w:rPr>
      </w:pPr>
    </w:p>
    <w:p w:rsidR="00D65368" w:rsidRPr="00D65368" w:rsidRDefault="00D65368" w:rsidP="00E317DB">
      <w:pPr>
        <w:spacing w:line="240" w:lineRule="auto"/>
      </w:pPr>
      <w:r w:rsidRPr="00D65368">
        <w:rPr>
          <w:b/>
        </w:rPr>
        <w:t>Examples of Surface Water:</w:t>
      </w:r>
      <w:r>
        <w:t xml:space="preserve"> </w:t>
      </w:r>
      <w:r w:rsidRPr="00D65368">
        <w:t>Rivers, streams, estuaries, lakes, canals and coastal waters.</w:t>
      </w:r>
    </w:p>
    <w:p w:rsidR="00D65368" w:rsidRPr="00D65368" w:rsidRDefault="00D65368" w:rsidP="00E317DB">
      <w:pPr>
        <w:spacing w:line="240" w:lineRule="auto"/>
      </w:pPr>
      <w:r w:rsidRPr="00D65368">
        <w:rPr>
          <w:b/>
        </w:rPr>
        <w:t>Examples of Liquid/Waste Water:</w:t>
      </w:r>
      <w:r>
        <w:t xml:space="preserve"> </w:t>
      </w:r>
      <w:r w:rsidRPr="00D65368">
        <w:t>Waste, matter, trade effluent, sewage effluent, contaminated surface water, poisonous, noxious or polluting matter.</w:t>
      </w:r>
    </w:p>
    <w:p w:rsidR="00612A28" w:rsidRDefault="00D65368" w:rsidP="00E317DB">
      <w:pPr>
        <w:spacing w:line="240" w:lineRule="auto"/>
        <w:rPr>
          <w:i/>
          <w:color w:val="7030A0"/>
        </w:rPr>
      </w:pPr>
      <w:r w:rsidRPr="00D65368">
        <w:rPr>
          <w:i/>
          <w:color w:val="7030A0"/>
        </w:rPr>
        <w:t xml:space="preserve">Section 6: </w:t>
      </w:r>
      <w:r>
        <w:rPr>
          <w:i/>
          <w:color w:val="7030A0"/>
        </w:rPr>
        <w:t>Leaking Fuel Tanks,</w:t>
      </w:r>
      <w:r w:rsidRPr="00D65368">
        <w:rPr>
          <w:i/>
          <w:color w:val="7030A0"/>
        </w:rPr>
        <w:t xml:space="preserve"> page </w:t>
      </w:r>
      <w:r w:rsidR="00612A28">
        <w:rPr>
          <w:i/>
          <w:color w:val="7030A0"/>
        </w:rPr>
        <w:t>47</w:t>
      </w:r>
    </w:p>
    <w:p w:rsidR="00D65368" w:rsidRPr="00512691" w:rsidRDefault="00D65368" w:rsidP="00E317DB">
      <w:pPr>
        <w:spacing w:line="240" w:lineRule="auto"/>
      </w:pPr>
      <w:r>
        <w:t>The environmental regulator should be notified without delay following the detection of any malfunction, breakdown or failure of equipment or techniques, accidents or emission of a substance not controlled by an emission limit which has caused, is causing or may cause significant pollution.</w:t>
      </w:r>
    </w:p>
    <w:p w:rsidR="00612A28" w:rsidRDefault="00D65368" w:rsidP="00E317DB">
      <w:pPr>
        <w:spacing w:line="240" w:lineRule="auto"/>
        <w:rPr>
          <w:i/>
          <w:color w:val="7030A0"/>
        </w:rPr>
      </w:pPr>
      <w:r w:rsidRPr="00D65368">
        <w:rPr>
          <w:i/>
          <w:color w:val="7030A0"/>
        </w:rPr>
        <w:t xml:space="preserve">Section 6: </w:t>
      </w:r>
      <w:r>
        <w:rPr>
          <w:i/>
          <w:color w:val="7030A0"/>
        </w:rPr>
        <w:t>VOC Emissions,</w:t>
      </w:r>
      <w:r w:rsidRPr="00D65368">
        <w:rPr>
          <w:i/>
          <w:color w:val="7030A0"/>
        </w:rPr>
        <w:t xml:space="preserve"> page </w:t>
      </w:r>
      <w:r w:rsidR="00612A28">
        <w:rPr>
          <w:i/>
          <w:color w:val="7030A0"/>
        </w:rPr>
        <w:t>49</w:t>
      </w:r>
    </w:p>
    <w:p w:rsidR="00D65368" w:rsidRDefault="00D65368" w:rsidP="00E317DB">
      <w:pPr>
        <w:spacing w:line="240" w:lineRule="auto"/>
      </w:pPr>
      <w:r>
        <w:t>Volatile organic compounds (VOCs) are substances with low boiling points that evaporate from solids or liqui</w:t>
      </w:r>
      <w:r w:rsidR="00FD3C07">
        <w:t>ds used in industrial processes</w:t>
      </w:r>
      <w:r w:rsidR="006C64DC">
        <w:t>.</w:t>
      </w:r>
      <w:r>
        <w:t xml:space="preserve"> </w:t>
      </w:r>
      <w:r w:rsidR="006C64DC">
        <w:t>F</w:t>
      </w:r>
      <w:r>
        <w:t>or example formaldehyde evaporating from paint, or benzene from fuel.</w:t>
      </w:r>
    </w:p>
    <w:p w:rsidR="00D65368" w:rsidRDefault="00D65368" w:rsidP="00E317DB">
      <w:pPr>
        <w:spacing w:line="240" w:lineRule="auto"/>
      </w:pPr>
      <w:r>
        <w:t>They can cause harm in the following ways:</w:t>
      </w:r>
    </w:p>
    <w:p w:rsidR="00D65368" w:rsidRDefault="00D65368" w:rsidP="00E317DB">
      <w:pPr>
        <w:pStyle w:val="ListParagraph"/>
        <w:numPr>
          <w:ilvl w:val="0"/>
          <w:numId w:val="28"/>
        </w:numPr>
        <w:spacing w:line="240" w:lineRule="auto"/>
      </w:pPr>
      <w:r>
        <w:t>Harming human health directly</w:t>
      </w:r>
    </w:p>
    <w:p w:rsidR="00D65368" w:rsidRDefault="00D65368" w:rsidP="00E317DB">
      <w:pPr>
        <w:pStyle w:val="ListParagraph"/>
        <w:numPr>
          <w:ilvl w:val="0"/>
          <w:numId w:val="28"/>
        </w:numPr>
        <w:spacing w:line="240" w:lineRule="auto"/>
      </w:pPr>
      <w:r>
        <w:t>Promoting ozone pollution at ground level</w:t>
      </w:r>
    </w:p>
    <w:p w:rsidR="00D65368" w:rsidRDefault="00D65368" w:rsidP="00E317DB">
      <w:pPr>
        <w:pStyle w:val="ListParagraph"/>
        <w:numPr>
          <w:ilvl w:val="0"/>
          <w:numId w:val="28"/>
        </w:numPr>
        <w:spacing w:line="240" w:lineRule="auto"/>
      </w:pPr>
      <w:r>
        <w:t>Damaging the ozone layer in the stratosphere</w:t>
      </w:r>
    </w:p>
    <w:p w:rsidR="00D65368" w:rsidRDefault="00D65368" w:rsidP="00E317DB">
      <w:pPr>
        <w:pStyle w:val="ListParagraph"/>
        <w:numPr>
          <w:ilvl w:val="0"/>
          <w:numId w:val="28"/>
        </w:numPr>
        <w:spacing w:line="240" w:lineRule="auto"/>
      </w:pPr>
      <w:r>
        <w:t>Contributing to global climate change</w:t>
      </w:r>
    </w:p>
    <w:p w:rsidR="00D65368" w:rsidRPr="00512691" w:rsidRDefault="00D65368" w:rsidP="00E317DB">
      <w:pPr>
        <w:pStyle w:val="ListParagraph"/>
        <w:numPr>
          <w:ilvl w:val="0"/>
          <w:numId w:val="28"/>
        </w:numPr>
        <w:spacing w:line="240" w:lineRule="auto"/>
      </w:pPr>
      <w:r>
        <w:t>Causing offensive smells</w:t>
      </w:r>
    </w:p>
    <w:p w:rsidR="00E317DB" w:rsidRPr="00E317DB" w:rsidRDefault="00E317DB" w:rsidP="00E317DB">
      <w:pPr>
        <w:spacing w:line="240" w:lineRule="auto"/>
        <w:rPr>
          <w:i/>
          <w:color w:val="7030A0"/>
        </w:rPr>
      </w:pPr>
      <w:r w:rsidRPr="00E317DB">
        <w:rPr>
          <w:i/>
          <w:color w:val="7030A0"/>
        </w:rPr>
        <w:t xml:space="preserve">Section </w:t>
      </w:r>
      <w:r>
        <w:rPr>
          <w:i/>
          <w:color w:val="7030A0"/>
        </w:rPr>
        <w:t>7</w:t>
      </w:r>
      <w:r w:rsidRPr="00E317DB">
        <w:rPr>
          <w:i/>
          <w:color w:val="7030A0"/>
        </w:rPr>
        <w:t xml:space="preserve">: </w:t>
      </w:r>
      <w:r>
        <w:rPr>
          <w:i/>
          <w:color w:val="7030A0"/>
        </w:rPr>
        <w:t>U1 Waste Exemption</w:t>
      </w:r>
      <w:r w:rsidRPr="00E317DB">
        <w:rPr>
          <w:i/>
          <w:color w:val="7030A0"/>
        </w:rPr>
        <w:t xml:space="preserve">, page </w:t>
      </w:r>
      <w:r>
        <w:rPr>
          <w:i/>
          <w:color w:val="7030A0"/>
        </w:rPr>
        <w:t>5</w:t>
      </w:r>
      <w:r w:rsidR="00612A28">
        <w:rPr>
          <w:i/>
          <w:color w:val="7030A0"/>
        </w:rPr>
        <w:t>2</w:t>
      </w:r>
    </w:p>
    <w:p w:rsidR="00D65368" w:rsidRPr="00E317DB" w:rsidRDefault="00E317DB" w:rsidP="00E317DB">
      <w:pPr>
        <w:spacing w:line="240" w:lineRule="auto"/>
        <w:rPr>
          <w:lang w:val="en"/>
        </w:rPr>
      </w:pPr>
      <w:r w:rsidRPr="00E317DB">
        <w:rPr>
          <w:lang w:val="en"/>
        </w:rPr>
        <w:t xml:space="preserve">The types of waste you can use under this exemption have been grouped together into 5 tables. These show the maximum quantities operators </w:t>
      </w:r>
      <w:r w:rsidRPr="00C234AC">
        <w:rPr>
          <w:lang w:val="en"/>
        </w:rPr>
        <w:t xml:space="preserve">can use and conditions for using the specific types of waste. </w:t>
      </w:r>
      <w:r w:rsidRPr="00C234AC">
        <w:t>For example, 1000 tonnes of soil waste from soil remediation which does not contain hazardous substance can be used in construction under this exemption.</w:t>
      </w:r>
    </w:p>
    <w:p w:rsidR="00C234AC" w:rsidRDefault="00C234AC" w:rsidP="00E317DB">
      <w:pPr>
        <w:spacing w:line="240" w:lineRule="auto"/>
        <w:rPr>
          <w:i/>
          <w:color w:val="7030A0"/>
        </w:rPr>
      </w:pPr>
    </w:p>
    <w:p w:rsidR="00C234AC" w:rsidRDefault="00C234AC" w:rsidP="00E317DB">
      <w:pPr>
        <w:spacing w:line="240" w:lineRule="auto"/>
        <w:rPr>
          <w:i/>
          <w:color w:val="7030A0"/>
        </w:rPr>
      </w:pPr>
    </w:p>
    <w:p w:rsidR="00C234AC" w:rsidRDefault="00C234AC" w:rsidP="00E317DB">
      <w:pPr>
        <w:spacing w:line="240" w:lineRule="auto"/>
        <w:rPr>
          <w:i/>
          <w:color w:val="7030A0"/>
        </w:rPr>
      </w:pPr>
    </w:p>
    <w:p w:rsidR="00C234AC" w:rsidRDefault="00C234AC" w:rsidP="00E317DB">
      <w:pPr>
        <w:spacing w:line="240" w:lineRule="auto"/>
        <w:rPr>
          <w:i/>
          <w:color w:val="7030A0"/>
        </w:rPr>
      </w:pPr>
    </w:p>
    <w:p w:rsidR="00E317DB" w:rsidRPr="00E317DB" w:rsidRDefault="00E317DB" w:rsidP="00E317DB">
      <w:pPr>
        <w:spacing w:line="240" w:lineRule="auto"/>
        <w:rPr>
          <w:i/>
          <w:color w:val="7030A0"/>
        </w:rPr>
      </w:pPr>
      <w:r w:rsidRPr="00E317DB">
        <w:rPr>
          <w:i/>
          <w:color w:val="7030A0"/>
        </w:rPr>
        <w:t>Section 7: U1 Waste Exemption, page 5</w:t>
      </w:r>
      <w:r w:rsidR="00612A28">
        <w:rPr>
          <w:i/>
          <w:color w:val="7030A0"/>
        </w:rPr>
        <w:t>2</w:t>
      </w:r>
    </w:p>
    <w:p w:rsidR="00E317DB" w:rsidRPr="00C234AC" w:rsidRDefault="00E317DB" w:rsidP="00E317DB">
      <w:pPr>
        <w:spacing w:line="240" w:lineRule="auto"/>
      </w:pPr>
      <w:r w:rsidRPr="00C234AC">
        <w:t xml:space="preserve">If no EU End of Waste Regulation applies to an operator’s waste derived product, they need to make an end of waste assessment. </w:t>
      </w:r>
    </w:p>
    <w:p w:rsidR="009B5506" w:rsidRPr="00E317DB" w:rsidRDefault="00E317DB" w:rsidP="00E317DB">
      <w:pPr>
        <w:spacing w:line="240" w:lineRule="auto"/>
        <w:rPr>
          <w:color w:val="00B050"/>
        </w:rPr>
      </w:pPr>
      <w:r w:rsidRPr="00C234AC">
        <w:t>This test is designed to assess if t</w:t>
      </w:r>
      <w:r w:rsidRPr="00C234AC">
        <w:rPr>
          <w:lang w:val="en"/>
        </w:rPr>
        <w:t xml:space="preserve">he </w:t>
      </w:r>
      <w:r w:rsidRPr="00E317DB">
        <w:rPr>
          <w:lang w:val="en"/>
        </w:rPr>
        <w:t>waste has been converted into a distinct and marketable product (</w:t>
      </w:r>
      <w:r w:rsidR="00D042EB">
        <w:rPr>
          <w:lang w:val="en"/>
        </w:rPr>
        <w:t xml:space="preserve">i.e. </w:t>
      </w:r>
      <w:r w:rsidRPr="00E317DB">
        <w:rPr>
          <w:lang w:val="en"/>
        </w:rPr>
        <w:t>something new, something different from the original waste, something that will definitely be used, something that can be used exactly the same way as a non-waste and something that can be stored without adverse environmental impacts).</w:t>
      </w:r>
    </w:p>
    <w:p w:rsidR="00C02BF3" w:rsidRPr="00C02BF3" w:rsidRDefault="00C02BF3" w:rsidP="00C02BF3">
      <w:pPr>
        <w:rPr>
          <w:i/>
          <w:color w:val="7030A0"/>
        </w:rPr>
      </w:pPr>
      <w:r>
        <w:rPr>
          <w:i/>
          <w:color w:val="7030A0"/>
        </w:rPr>
        <w:t>Revised List of Sources</w:t>
      </w:r>
    </w:p>
    <w:tbl>
      <w:tblPr>
        <w:tblStyle w:val="TableGrid"/>
        <w:tblW w:w="5000" w:type="pct"/>
        <w:tblLayout w:type="fixed"/>
        <w:tblLook w:val="04A0" w:firstRow="1" w:lastRow="0" w:firstColumn="1" w:lastColumn="0" w:noHBand="0" w:noVBand="1"/>
      </w:tblPr>
      <w:tblGrid>
        <w:gridCol w:w="675"/>
        <w:gridCol w:w="3700"/>
      </w:tblGrid>
      <w:tr w:rsidR="00E317DB" w:rsidRPr="00C04FFA" w:rsidTr="00C04FFA">
        <w:tc>
          <w:tcPr>
            <w:tcW w:w="771" w:type="pct"/>
            <w:shd w:val="clear" w:color="auto" w:fill="7030A0"/>
          </w:tcPr>
          <w:p w:rsidR="00E317DB" w:rsidRPr="00C04FFA" w:rsidRDefault="00E317DB" w:rsidP="00E317DB">
            <w:pPr>
              <w:rPr>
                <w:b/>
                <w:bCs/>
                <w:color w:val="FFFFFF" w:themeColor="background1"/>
                <w:sz w:val="18"/>
                <w:szCs w:val="18"/>
              </w:rPr>
            </w:pPr>
            <w:r w:rsidRPr="00C04FFA">
              <w:rPr>
                <w:b/>
                <w:bCs/>
                <w:color w:val="FFFFFF" w:themeColor="background1"/>
                <w:sz w:val="18"/>
                <w:szCs w:val="18"/>
              </w:rPr>
              <w:t>Page</w:t>
            </w:r>
          </w:p>
        </w:tc>
        <w:tc>
          <w:tcPr>
            <w:tcW w:w="4229" w:type="pct"/>
            <w:shd w:val="clear" w:color="auto" w:fill="7030A0"/>
          </w:tcPr>
          <w:p w:rsidR="00E317DB" w:rsidRPr="00C04FFA" w:rsidRDefault="00E317DB" w:rsidP="00E317DB">
            <w:pPr>
              <w:rPr>
                <w:b/>
                <w:bCs/>
                <w:color w:val="FFFFFF" w:themeColor="background1"/>
                <w:sz w:val="18"/>
                <w:szCs w:val="18"/>
              </w:rPr>
            </w:pPr>
            <w:r w:rsidRPr="00C04FFA">
              <w:rPr>
                <w:b/>
                <w:bCs/>
                <w:color w:val="FFFFFF" w:themeColor="background1"/>
                <w:sz w:val="18"/>
                <w:szCs w:val="18"/>
              </w:rPr>
              <w:t>Source</w:t>
            </w:r>
          </w:p>
        </w:tc>
      </w:tr>
      <w:tr w:rsidR="00E317DB" w:rsidRPr="00C04FFA" w:rsidTr="00C04FFA">
        <w:tc>
          <w:tcPr>
            <w:tcW w:w="771" w:type="pct"/>
          </w:tcPr>
          <w:p w:rsidR="00E317DB" w:rsidRPr="00C04FFA" w:rsidRDefault="00E317DB" w:rsidP="00E317DB">
            <w:pPr>
              <w:rPr>
                <w:bCs/>
                <w:sz w:val="18"/>
                <w:szCs w:val="18"/>
              </w:rPr>
            </w:pPr>
            <w:r w:rsidRPr="00C04FFA">
              <w:rPr>
                <w:bCs/>
                <w:sz w:val="18"/>
                <w:szCs w:val="18"/>
              </w:rPr>
              <w:t>15,16,17,18,21,22</w:t>
            </w:r>
          </w:p>
        </w:tc>
        <w:tc>
          <w:tcPr>
            <w:tcW w:w="4229" w:type="pct"/>
          </w:tcPr>
          <w:p w:rsidR="00E317DB" w:rsidRPr="00C04FFA" w:rsidRDefault="00A960A7" w:rsidP="00E317DB">
            <w:pPr>
              <w:rPr>
                <w:sz w:val="18"/>
                <w:szCs w:val="18"/>
              </w:rPr>
            </w:pPr>
            <w:hyperlink r:id="rId24" w:history="1">
              <w:r w:rsidR="00E317DB" w:rsidRPr="00C04FFA">
                <w:rPr>
                  <w:rStyle w:val="Hyperlink"/>
                  <w:sz w:val="18"/>
                  <w:szCs w:val="18"/>
                </w:rPr>
                <w:t>Environment Agency (2004) Model Procedures for the Management of Land Contamination</w:t>
              </w:r>
            </w:hyperlink>
            <w:r w:rsidR="00E317DB" w:rsidRPr="00C04FFA">
              <w:rPr>
                <w:color w:val="7030A0"/>
                <w:sz w:val="18"/>
                <w:szCs w:val="18"/>
              </w:rPr>
              <w:t xml:space="preserve"> </w:t>
            </w:r>
          </w:p>
        </w:tc>
      </w:tr>
      <w:tr w:rsidR="00E317DB" w:rsidRPr="00C04FFA" w:rsidTr="00C04FFA">
        <w:tc>
          <w:tcPr>
            <w:tcW w:w="771" w:type="pct"/>
          </w:tcPr>
          <w:p w:rsidR="00E317DB" w:rsidRPr="00C04FFA" w:rsidRDefault="00E317DB" w:rsidP="00E317DB">
            <w:pPr>
              <w:rPr>
                <w:bCs/>
                <w:sz w:val="18"/>
                <w:szCs w:val="18"/>
              </w:rPr>
            </w:pPr>
            <w:r w:rsidRPr="00C04FFA">
              <w:rPr>
                <w:bCs/>
                <w:sz w:val="18"/>
                <w:szCs w:val="18"/>
              </w:rPr>
              <w:t>15,16,17,</w:t>
            </w:r>
          </w:p>
        </w:tc>
        <w:tc>
          <w:tcPr>
            <w:tcW w:w="4229" w:type="pct"/>
          </w:tcPr>
          <w:p w:rsidR="00E317DB" w:rsidRPr="00C04FFA" w:rsidRDefault="00A960A7" w:rsidP="00E317DB">
            <w:pPr>
              <w:rPr>
                <w:sz w:val="18"/>
                <w:szCs w:val="18"/>
              </w:rPr>
            </w:pPr>
            <w:hyperlink r:id="rId25" w:history="1">
              <w:r w:rsidR="00E317DB" w:rsidRPr="00C04FFA">
                <w:rPr>
                  <w:rStyle w:val="Hyperlink"/>
                  <w:sz w:val="18"/>
                  <w:szCs w:val="18"/>
                </w:rPr>
                <w:t>DEFRA (2016) Land Contamination: Risk Management</w:t>
              </w:r>
            </w:hyperlink>
            <w:r w:rsidR="00E317DB" w:rsidRPr="00C04FFA">
              <w:rPr>
                <w:color w:val="7030A0"/>
                <w:sz w:val="18"/>
                <w:szCs w:val="18"/>
              </w:rPr>
              <w:t xml:space="preserve"> </w:t>
            </w:r>
          </w:p>
        </w:tc>
      </w:tr>
      <w:tr w:rsidR="00E317DB" w:rsidRPr="00C04FFA" w:rsidTr="00C04FFA">
        <w:tc>
          <w:tcPr>
            <w:tcW w:w="771" w:type="pct"/>
          </w:tcPr>
          <w:p w:rsidR="00E317DB" w:rsidRPr="00C04FFA" w:rsidRDefault="00E317DB" w:rsidP="00E317DB">
            <w:pPr>
              <w:rPr>
                <w:bCs/>
                <w:sz w:val="18"/>
                <w:szCs w:val="18"/>
              </w:rPr>
            </w:pPr>
            <w:r w:rsidRPr="00C04FFA">
              <w:rPr>
                <w:bCs/>
                <w:sz w:val="18"/>
                <w:szCs w:val="18"/>
              </w:rPr>
              <w:t>21</w:t>
            </w:r>
          </w:p>
        </w:tc>
        <w:tc>
          <w:tcPr>
            <w:tcW w:w="4229" w:type="pct"/>
          </w:tcPr>
          <w:p w:rsidR="00E317DB" w:rsidRPr="00C04FFA" w:rsidRDefault="00A960A7" w:rsidP="00E317DB">
            <w:pPr>
              <w:rPr>
                <w:sz w:val="18"/>
                <w:szCs w:val="18"/>
              </w:rPr>
            </w:pPr>
            <w:hyperlink r:id="rId26" w:history="1">
              <w:r w:rsidR="00E317DB" w:rsidRPr="00C04FFA">
                <w:rPr>
                  <w:rStyle w:val="Hyperlink"/>
                  <w:sz w:val="18"/>
                  <w:szCs w:val="18"/>
                </w:rPr>
                <w:t>CL:AIRE Definition of Waste: Development Industry Code of Practice (</w:t>
              </w:r>
              <w:proofErr w:type="spellStart"/>
              <w:r w:rsidR="00E317DB" w:rsidRPr="00C04FFA">
                <w:rPr>
                  <w:rStyle w:val="Hyperlink"/>
                  <w:sz w:val="18"/>
                  <w:szCs w:val="18"/>
                </w:rPr>
                <w:t>DoW</w:t>
              </w:r>
              <w:proofErr w:type="spellEnd"/>
              <w:r w:rsidR="00E317DB" w:rsidRPr="00C04FFA">
                <w:rPr>
                  <w:rStyle w:val="Hyperlink"/>
                  <w:sz w:val="18"/>
                  <w:szCs w:val="18"/>
                </w:rPr>
                <w:t xml:space="preserve"> </w:t>
              </w:r>
              <w:proofErr w:type="spellStart"/>
              <w:r w:rsidR="00E317DB" w:rsidRPr="00C04FFA">
                <w:rPr>
                  <w:rStyle w:val="Hyperlink"/>
                  <w:sz w:val="18"/>
                  <w:szCs w:val="18"/>
                </w:rPr>
                <w:t>CoP</w:t>
              </w:r>
              <w:proofErr w:type="spellEnd"/>
              <w:r w:rsidR="00E317DB" w:rsidRPr="00C04FFA">
                <w:rPr>
                  <w:rStyle w:val="Hyperlink"/>
                  <w:sz w:val="18"/>
                  <w:szCs w:val="18"/>
                </w:rPr>
                <w:t>)</w:t>
              </w:r>
            </w:hyperlink>
            <w:r w:rsidR="00E317DB" w:rsidRPr="00C04FFA">
              <w:rPr>
                <w:color w:val="7030A0"/>
                <w:sz w:val="18"/>
                <w:szCs w:val="18"/>
              </w:rPr>
              <w:t xml:space="preserve"> </w:t>
            </w:r>
          </w:p>
        </w:tc>
      </w:tr>
      <w:tr w:rsidR="00E317DB" w:rsidRPr="00C04FFA" w:rsidTr="00C04FFA">
        <w:tc>
          <w:tcPr>
            <w:tcW w:w="771" w:type="pct"/>
          </w:tcPr>
          <w:p w:rsidR="00E317DB" w:rsidRPr="00C04FFA" w:rsidRDefault="00E317DB" w:rsidP="00E317DB">
            <w:pPr>
              <w:rPr>
                <w:bCs/>
                <w:sz w:val="18"/>
                <w:szCs w:val="18"/>
              </w:rPr>
            </w:pPr>
            <w:r w:rsidRPr="00C04FFA">
              <w:rPr>
                <w:bCs/>
                <w:sz w:val="18"/>
                <w:szCs w:val="18"/>
              </w:rPr>
              <w:t>21</w:t>
            </w:r>
          </w:p>
        </w:tc>
        <w:tc>
          <w:tcPr>
            <w:tcW w:w="4229" w:type="pct"/>
          </w:tcPr>
          <w:p w:rsidR="00E317DB" w:rsidRPr="00C04FFA" w:rsidRDefault="00A960A7" w:rsidP="00E317DB">
            <w:pPr>
              <w:rPr>
                <w:rFonts w:cs="Calibri"/>
                <w:sz w:val="18"/>
                <w:szCs w:val="18"/>
              </w:rPr>
            </w:pPr>
            <w:hyperlink r:id="rId27" w:history="1">
              <w:r w:rsidR="00E317DB" w:rsidRPr="00C04FFA">
                <w:rPr>
                  <w:rStyle w:val="Hyperlink"/>
                  <w:sz w:val="18"/>
                  <w:szCs w:val="18"/>
                </w:rPr>
                <w:t xml:space="preserve">Environment Agency (2006) </w:t>
              </w:r>
              <w:r w:rsidR="00E317DB" w:rsidRPr="00C04FFA">
                <w:rPr>
                  <w:rStyle w:val="Hyperlink"/>
                  <w:rFonts w:cs="Calibri"/>
                  <w:sz w:val="18"/>
                  <w:szCs w:val="18"/>
                </w:rPr>
                <w:t>The Definition of Waste Developing greenfield and brownfield sites</w:t>
              </w:r>
            </w:hyperlink>
            <w:r w:rsidR="00E317DB" w:rsidRPr="00C04FFA">
              <w:rPr>
                <w:rFonts w:cs="Calibri"/>
                <w:color w:val="7030A0"/>
                <w:sz w:val="18"/>
                <w:szCs w:val="18"/>
              </w:rPr>
              <w:t xml:space="preserve"> </w:t>
            </w:r>
          </w:p>
        </w:tc>
      </w:tr>
      <w:tr w:rsidR="00E317DB" w:rsidRPr="00C04FFA" w:rsidTr="00C04FFA">
        <w:tc>
          <w:tcPr>
            <w:tcW w:w="771" w:type="pct"/>
          </w:tcPr>
          <w:p w:rsidR="00E317DB" w:rsidRPr="00C04FFA" w:rsidRDefault="00E317DB" w:rsidP="00E317DB">
            <w:pPr>
              <w:rPr>
                <w:bCs/>
                <w:sz w:val="18"/>
                <w:szCs w:val="18"/>
              </w:rPr>
            </w:pPr>
            <w:r w:rsidRPr="00C04FFA">
              <w:rPr>
                <w:bCs/>
                <w:sz w:val="18"/>
                <w:szCs w:val="18"/>
              </w:rPr>
              <w:t>23</w:t>
            </w:r>
          </w:p>
        </w:tc>
        <w:tc>
          <w:tcPr>
            <w:tcW w:w="4229" w:type="pct"/>
          </w:tcPr>
          <w:p w:rsidR="00E317DB" w:rsidRPr="00C04FFA" w:rsidRDefault="00A960A7" w:rsidP="00E317DB">
            <w:pPr>
              <w:rPr>
                <w:sz w:val="18"/>
                <w:szCs w:val="18"/>
              </w:rPr>
            </w:pPr>
            <w:hyperlink r:id="rId28" w:history="1">
              <w:r w:rsidR="00E317DB" w:rsidRPr="00C04FFA">
                <w:rPr>
                  <w:rStyle w:val="Hyperlink"/>
                  <w:sz w:val="18"/>
                  <w:szCs w:val="18"/>
                </w:rPr>
                <w:t>DEFRA (2012) Contaminated Land Statutory Guidance</w:t>
              </w:r>
            </w:hyperlink>
            <w:r w:rsidR="00E317DB" w:rsidRPr="00C04FFA">
              <w:rPr>
                <w:color w:val="7030A0"/>
                <w:sz w:val="18"/>
                <w:szCs w:val="18"/>
              </w:rPr>
              <w:t xml:space="preserve"> </w:t>
            </w:r>
          </w:p>
        </w:tc>
      </w:tr>
      <w:tr w:rsidR="00E317DB" w:rsidRPr="00C04FFA" w:rsidTr="00C04FFA">
        <w:tc>
          <w:tcPr>
            <w:tcW w:w="771" w:type="pct"/>
          </w:tcPr>
          <w:p w:rsidR="00E317DB" w:rsidRPr="00C04FFA" w:rsidRDefault="00E317DB" w:rsidP="00E317DB">
            <w:pPr>
              <w:rPr>
                <w:bCs/>
                <w:sz w:val="18"/>
                <w:szCs w:val="18"/>
              </w:rPr>
            </w:pPr>
            <w:r w:rsidRPr="00C04FFA">
              <w:rPr>
                <w:bCs/>
                <w:sz w:val="18"/>
                <w:szCs w:val="18"/>
              </w:rPr>
              <w:t>26,34,35,51</w:t>
            </w:r>
          </w:p>
        </w:tc>
        <w:tc>
          <w:tcPr>
            <w:tcW w:w="4229" w:type="pct"/>
          </w:tcPr>
          <w:p w:rsidR="00E317DB" w:rsidRPr="00C04FFA" w:rsidRDefault="00A960A7" w:rsidP="00350ADC">
            <w:pPr>
              <w:rPr>
                <w:sz w:val="18"/>
                <w:szCs w:val="18"/>
              </w:rPr>
            </w:pPr>
            <w:hyperlink r:id="rId29" w:history="1">
              <w:r w:rsidR="00E317DB" w:rsidRPr="00C04FFA">
                <w:rPr>
                  <w:rStyle w:val="Hyperlink"/>
                  <w:sz w:val="18"/>
                  <w:szCs w:val="18"/>
                </w:rPr>
                <w:t>Environment Agency (2012) SR2008No27 – Mobile plant for the treatment of soils and contaminated material substances or products</w:t>
              </w:r>
            </w:hyperlink>
            <w:r w:rsidR="00E317DB" w:rsidRPr="00C04FFA">
              <w:rPr>
                <w:color w:val="7030A0"/>
                <w:sz w:val="18"/>
                <w:szCs w:val="18"/>
              </w:rPr>
              <w:t xml:space="preserve"> </w:t>
            </w:r>
          </w:p>
        </w:tc>
      </w:tr>
      <w:tr w:rsidR="00E317DB" w:rsidRPr="00C04FFA" w:rsidTr="00C04FFA">
        <w:tc>
          <w:tcPr>
            <w:tcW w:w="771" w:type="pct"/>
          </w:tcPr>
          <w:p w:rsidR="00E317DB" w:rsidRPr="00C04FFA" w:rsidRDefault="00E317DB" w:rsidP="00E317DB">
            <w:pPr>
              <w:rPr>
                <w:bCs/>
                <w:sz w:val="18"/>
                <w:szCs w:val="18"/>
              </w:rPr>
            </w:pPr>
            <w:r w:rsidRPr="00C04FFA">
              <w:rPr>
                <w:bCs/>
                <w:sz w:val="18"/>
                <w:szCs w:val="18"/>
              </w:rPr>
              <w:t>26,34,35,51</w:t>
            </w:r>
          </w:p>
        </w:tc>
        <w:tc>
          <w:tcPr>
            <w:tcW w:w="4229" w:type="pct"/>
          </w:tcPr>
          <w:p w:rsidR="00E317DB" w:rsidRPr="00C04FFA" w:rsidRDefault="00A960A7" w:rsidP="00350ADC">
            <w:pPr>
              <w:rPr>
                <w:rFonts w:cs="Arial"/>
                <w:color w:val="0000FF"/>
                <w:sz w:val="18"/>
                <w:szCs w:val="18"/>
                <w:u w:val="single"/>
              </w:rPr>
            </w:pPr>
            <w:hyperlink r:id="rId30" w:history="1">
              <w:r w:rsidR="00E317DB" w:rsidRPr="00C04FFA">
                <w:rPr>
                  <w:rStyle w:val="Hyperlink"/>
                  <w:sz w:val="18"/>
                  <w:szCs w:val="18"/>
                </w:rPr>
                <w:t>Natural Resources Wales - SR2008 No27 - Mobile plant for the treatment of soils and contaminated material, substances or products</w:t>
              </w:r>
            </w:hyperlink>
            <w:r w:rsidR="00E317DB" w:rsidRPr="00C04FFA">
              <w:rPr>
                <w:rFonts w:cs="Arial"/>
                <w:color w:val="7030A0"/>
                <w:sz w:val="18"/>
                <w:szCs w:val="18"/>
              </w:rPr>
              <w:t xml:space="preserve"> </w:t>
            </w:r>
          </w:p>
        </w:tc>
      </w:tr>
      <w:tr w:rsidR="00E317DB" w:rsidRPr="00C04FFA" w:rsidTr="00C04FFA">
        <w:tc>
          <w:tcPr>
            <w:tcW w:w="771" w:type="pct"/>
          </w:tcPr>
          <w:p w:rsidR="00E317DB" w:rsidRPr="00C04FFA" w:rsidRDefault="00C04FFA" w:rsidP="00E317DB">
            <w:pPr>
              <w:rPr>
                <w:bCs/>
                <w:sz w:val="18"/>
                <w:szCs w:val="18"/>
              </w:rPr>
            </w:pPr>
            <w:r>
              <w:rPr>
                <w:bCs/>
                <w:sz w:val="18"/>
                <w:szCs w:val="18"/>
              </w:rPr>
              <w:t>26</w:t>
            </w:r>
          </w:p>
        </w:tc>
        <w:tc>
          <w:tcPr>
            <w:tcW w:w="4229" w:type="pct"/>
          </w:tcPr>
          <w:p w:rsidR="00E317DB" w:rsidRPr="00C04FFA" w:rsidRDefault="00A960A7" w:rsidP="00350ADC">
            <w:pPr>
              <w:rPr>
                <w:color w:val="0000FF"/>
                <w:sz w:val="18"/>
                <w:szCs w:val="18"/>
                <w:u w:val="single"/>
              </w:rPr>
            </w:pPr>
            <w:hyperlink r:id="rId31" w:history="1">
              <w:r w:rsidR="00E317DB" w:rsidRPr="00C04FFA">
                <w:rPr>
                  <w:rStyle w:val="Hyperlink"/>
                  <w:sz w:val="18"/>
                  <w:szCs w:val="18"/>
                </w:rPr>
                <w:t>Natural Resources Wales (2019) Apply for a Standard Permit for Waste Operations</w:t>
              </w:r>
            </w:hyperlink>
            <w:r w:rsidR="00E317DB" w:rsidRPr="00C04FFA">
              <w:rPr>
                <w:color w:val="7030A0"/>
                <w:sz w:val="18"/>
                <w:szCs w:val="18"/>
              </w:rPr>
              <w:t xml:space="preserve"> </w:t>
            </w:r>
          </w:p>
        </w:tc>
      </w:tr>
      <w:tr w:rsidR="00E317DB" w:rsidRPr="00C04FFA" w:rsidTr="00C04FFA">
        <w:tc>
          <w:tcPr>
            <w:tcW w:w="771" w:type="pct"/>
          </w:tcPr>
          <w:p w:rsidR="00E317DB" w:rsidRPr="00C04FFA" w:rsidRDefault="00E317DB" w:rsidP="00E317DB">
            <w:pPr>
              <w:rPr>
                <w:bCs/>
                <w:sz w:val="18"/>
                <w:szCs w:val="18"/>
              </w:rPr>
            </w:pPr>
            <w:r w:rsidRPr="00C04FFA">
              <w:rPr>
                <w:bCs/>
                <w:sz w:val="18"/>
                <w:szCs w:val="18"/>
              </w:rPr>
              <w:t>27,28,29,30,31,49</w:t>
            </w:r>
          </w:p>
        </w:tc>
        <w:tc>
          <w:tcPr>
            <w:tcW w:w="4229" w:type="pct"/>
          </w:tcPr>
          <w:p w:rsidR="00E317DB" w:rsidRPr="00C04FFA" w:rsidRDefault="00A960A7" w:rsidP="00350ADC">
            <w:pPr>
              <w:rPr>
                <w:rFonts w:cstheme="minorHAnsi"/>
                <w:sz w:val="18"/>
                <w:szCs w:val="18"/>
              </w:rPr>
            </w:pPr>
            <w:hyperlink r:id="rId32" w:history="1">
              <w:r w:rsidR="00E317DB" w:rsidRPr="00C04FFA">
                <w:rPr>
                  <w:rStyle w:val="Hyperlink"/>
                  <w:rFonts w:cstheme="minorHAnsi"/>
                  <w:sz w:val="18"/>
                  <w:szCs w:val="18"/>
                </w:rPr>
                <w:t>England - MPP2 Form and guidance for land and groundwater remediation</w:t>
              </w:r>
            </w:hyperlink>
            <w:r w:rsidR="00E317DB" w:rsidRPr="00C04FFA">
              <w:rPr>
                <w:rFonts w:cstheme="minorHAnsi"/>
                <w:color w:val="7030A0"/>
                <w:sz w:val="18"/>
                <w:szCs w:val="18"/>
              </w:rPr>
              <w:t xml:space="preserve"> </w:t>
            </w:r>
          </w:p>
        </w:tc>
      </w:tr>
      <w:tr w:rsidR="00E317DB" w:rsidRPr="00C04FFA" w:rsidTr="00C04FFA">
        <w:tc>
          <w:tcPr>
            <w:tcW w:w="771" w:type="pct"/>
          </w:tcPr>
          <w:p w:rsidR="00E317DB" w:rsidRPr="00C04FFA" w:rsidRDefault="00E317DB" w:rsidP="00E317DB">
            <w:pPr>
              <w:rPr>
                <w:bCs/>
                <w:sz w:val="18"/>
                <w:szCs w:val="18"/>
              </w:rPr>
            </w:pPr>
            <w:r w:rsidRPr="00C04FFA">
              <w:rPr>
                <w:bCs/>
                <w:sz w:val="18"/>
                <w:szCs w:val="18"/>
              </w:rPr>
              <w:t>27,28,29,30,31,49</w:t>
            </w:r>
          </w:p>
        </w:tc>
        <w:tc>
          <w:tcPr>
            <w:tcW w:w="4229" w:type="pct"/>
          </w:tcPr>
          <w:p w:rsidR="00E317DB" w:rsidRPr="00C04FFA" w:rsidRDefault="00A960A7" w:rsidP="00350ADC">
            <w:pPr>
              <w:rPr>
                <w:rFonts w:cs="Calibri"/>
                <w:b/>
                <w:sz w:val="18"/>
                <w:szCs w:val="18"/>
              </w:rPr>
            </w:pPr>
            <w:hyperlink r:id="rId33" w:history="1">
              <w:r w:rsidR="00E317DB" w:rsidRPr="00C04FFA">
                <w:rPr>
                  <w:rStyle w:val="Hyperlink"/>
                  <w:rFonts w:cstheme="minorHAnsi"/>
                  <w:sz w:val="18"/>
                  <w:szCs w:val="18"/>
                </w:rPr>
                <w:t>Wales - MPP2 Form and guidance for la</w:t>
              </w:r>
              <w:r w:rsidR="00350ADC" w:rsidRPr="00C04FFA">
                <w:rPr>
                  <w:rStyle w:val="Hyperlink"/>
                  <w:rFonts w:cstheme="minorHAnsi"/>
                  <w:sz w:val="18"/>
                  <w:szCs w:val="18"/>
                </w:rPr>
                <w:t>nd and groundwater remediation</w:t>
              </w:r>
            </w:hyperlink>
          </w:p>
        </w:tc>
      </w:tr>
      <w:tr w:rsidR="00E317DB" w:rsidRPr="00C04FFA" w:rsidTr="00C04FFA">
        <w:tc>
          <w:tcPr>
            <w:tcW w:w="771" w:type="pct"/>
          </w:tcPr>
          <w:p w:rsidR="00E317DB" w:rsidRPr="00C04FFA" w:rsidRDefault="00E317DB" w:rsidP="00E317DB">
            <w:pPr>
              <w:rPr>
                <w:bCs/>
                <w:sz w:val="18"/>
                <w:szCs w:val="18"/>
              </w:rPr>
            </w:pPr>
            <w:r w:rsidRPr="00C04FFA">
              <w:rPr>
                <w:bCs/>
                <w:sz w:val="18"/>
                <w:szCs w:val="18"/>
              </w:rPr>
              <w:t>50</w:t>
            </w:r>
          </w:p>
        </w:tc>
        <w:tc>
          <w:tcPr>
            <w:tcW w:w="4229" w:type="pct"/>
          </w:tcPr>
          <w:p w:rsidR="00E317DB" w:rsidRPr="00C04FFA" w:rsidRDefault="00A960A7" w:rsidP="00350ADC">
            <w:pPr>
              <w:rPr>
                <w:sz w:val="18"/>
                <w:szCs w:val="18"/>
              </w:rPr>
            </w:pPr>
            <w:hyperlink r:id="rId34" w:history="1">
              <w:r w:rsidR="00E317DB" w:rsidRPr="00C04FFA">
                <w:rPr>
                  <w:rStyle w:val="Hyperlink"/>
                  <w:sz w:val="18"/>
                  <w:szCs w:val="18"/>
                </w:rPr>
                <w:t>Environment Agency (2013) How to comply with your environmental permit</w:t>
              </w:r>
            </w:hyperlink>
            <w:r w:rsidR="00E317DB" w:rsidRPr="00C04FFA">
              <w:rPr>
                <w:color w:val="7030A0"/>
                <w:sz w:val="18"/>
                <w:szCs w:val="18"/>
              </w:rPr>
              <w:t xml:space="preserve"> </w:t>
            </w:r>
          </w:p>
        </w:tc>
      </w:tr>
      <w:tr w:rsidR="00E317DB" w:rsidRPr="00C04FFA" w:rsidTr="00C04FFA">
        <w:tc>
          <w:tcPr>
            <w:tcW w:w="771" w:type="pct"/>
          </w:tcPr>
          <w:p w:rsidR="00E317DB" w:rsidRPr="00C04FFA" w:rsidRDefault="00E317DB" w:rsidP="00E317DB">
            <w:pPr>
              <w:rPr>
                <w:bCs/>
                <w:sz w:val="18"/>
                <w:szCs w:val="18"/>
              </w:rPr>
            </w:pPr>
            <w:r w:rsidRPr="00C04FFA">
              <w:rPr>
                <w:bCs/>
                <w:sz w:val="18"/>
                <w:szCs w:val="18"/>
              </w:rPr>
              <w:t>34</w:t>
            </w:r>
          </w:p>
        </w:tc>
        <w:tc>
          <w:tcPr>
            <w:tcW w:w="4229" w:type="pct"/>
          </w:tcPr>
          <w:p w:rsidR="00E317DB" w:rsidRPr="00C04FFA" w:rsidRDefault="00A960A7" w:rsidP="00350ADC">
            <w:pPr>
              <w:rPr>
                <w:sz w:val="18"/>
                <w:szCs w:val="18"/>
              </w:rPr>
            </w:pPr>
            <w:hyperlink r:id="rId35" w:history="1">
              <w:r w:rsidR="00E317DB" w:rsidRPr="00C04FFA">
                <w:rPr>
                  <w:rStyle w:val="Hyperlink"/>
                  <w:sz w:val="18"/>
                  <w:szCs w:val="18"/>
                </w:rPr>
                <w:t>Environment Agency (2011) Above Ground Oil Storage Tanks PPG 2</w:t>
              </w:r>
            </w:hyperlink>
            <w:r w:rsidR="00E317DB" w:rsidRPr="00C04FFA">
              <w:rPr>
                <w:color w:val="7030A0"/>
                <w:sz w:val="18"/>
                <w:szCs w:val="18"/>
              </w:rPr>
              <w:t xml:space="preserve"> </w:t>
            </w:r>
          </w:p>
        </w:tc>
      </w:tr>
      <w:tr w:rsidR="00E317DB" w:rsidRPr="00C04FFA" w:rsidTr="00C04FFA">
        <w:tc>
          <w:tcPr>
            <w:tcW w:w="771" w:type="pct"/>
          </w:tcPr>
          <w:p w:rsidR="00E317DB" w:rsidRPr="00C04FFA" w:rsidRDefault="00E317DB" w:rsidP="00E317DB">
            <w:pPr>
              <w:rPr>
                <w:bCs/>
                <w:sz w:val="18"/>
                <w:szCs w:val="18"/>
              </w:rPr>
            </w:pPr>
            <w:r w:rsidRPr="00C04FFA">
              <w:rPr>
                <w:bCs/>
                <w:sz w:val="18"/>
                <w:szCs w:val="18"/>
              </w:rPr>
              <w:t>34</w:t>
            </w:r>
          </w:p>
        </w:tc>
        <w:tc>
          <w:tcPr>
            <w:tcW w:w="4229" w:type="pct"/>
          </w:tcPr>
          <w:p w:rsidR="00E317DB" w:rsidRPr="00C04FFA" w:rsidRDefault="00A960A7" w:rsidP="00350ADC">
            <w:pPr>
              <w:rPr>
                <w:sz w:val="18"/>
                <w:szCs w:val="18"/>
              </w:rPr>
            </w:pPr>
            <w:hyperlink r:id="rId36" w:history="1">
              <w:r w:rsidR="00E317DB" w:rsidRPr="00C04FFA">
                <w:rPr>
                  <w:rStyle w:val="Hyperlink"/>
                  <w:sz w:val="18"/>
                  <w:szCs w:val="18"/>
                </w:rPr>
                <w:t>DEFRA (2018) Control and monitor emissions for your environmental permit</w:t>
              </w:r>
            </w:hyperlink>
            <w:r w:rsidR="00E317DB" w:rsidRPr="00C04FFA">
              <w:rPr>
                <w:color w:val="7030A0"/>
                <w:sz w:val="18"/>
                <w:szCs w:val="18"/>
              </w:rPr>
              <w:t xml:space="preserve"> </w:t>
            </w:r>
          </w:p>
        </w:tc>
      </w:tr>
      <w:tr w:rsidR="00E317DB" w:rsidRPr="00C04FFA" w:rsidTr="00C04FFA">
        <w:tc>
          <w:tcPr>
            <w:tcW w:w="771" w:type="pct"/>
          </w:tcPr>
          <w:p w:rsidR="00E317DB" w:rsidRPr="00C04FFA" w:rsidRDefault="00E317DB" w:rsidP="00E317DB">
            <w:pPr>
              <w:rPr>
                <w:bCs/>
                <w:sz w:val="18"/>
                <w:szCs w:val="18"/>
              </w:rPr>
            </w:pPr>
            <w:r w:rsidRPr="00C04FFA">
              <w:rPr>
                <w:bCs/>
                <w:sz w:val="18"/>
                <w:szCs w:val="18"/>
              </w:rPr>
              <w:t>35</w:t>
            </w:r>
          </w:p>
        </w:tc>
        <w:tc>
          <w:tcPr>
            <w:tcW w:w="4229" w:type="pct"/>
          </w:tcPr>
          <w:p w:rsidR="00E317DB" w:rsidRPr="00C04FFA" w:rsidRDefault="00A960A7" w:rsidP="00350ADC">
            <w:pPr>
              <w:rPr>
                <w:sz w:val="18"/>
                <w:szCs w:val="18"/>
                <w:highlight w:val="yellow"/>
              </w:rPr>
            </w:pPr>
            <w:hyperlink r:id="rId37" w:anchor="check-if-you-can-get-a-standard-rules-permit" w:history="1">
              <w:r w:rsidR="00E317DB" w:rsidRPr="00C04FFA">
                <w:rPr>
                  <w:rStyle w:val="Hyperlink"/>
                  <w:sz w:val="18"/>
                  <w:szCs w:val="18"/>
                </w:rPr>
                <w:t>GOV.UK (2018) Waste: Environmental Permits</w:t>
              </w:r>
            </w:hyperlink>
            <w:r w:rsidR="00E317DB" w:rsidRPr="00C04FFA">
              <w:rPr>
                <w:color w:val="7030A0"/>
                <w:sz w:val="18"/>
                <w:szCs w:val="18"/>
              </w:rPr>
              <w:t xml:space="preserve"> </w:t>
            </w:r>
          </w:p>
        </w:tc>
      </w:tr>
      <w:tr w:rsidR="00E317DB" w:rsidRPr="00C04FFA" w:rsidTr="00C04FFA">
        <w:tc>
          <w:tcPr>
            <w:tcW w:w="771" w:type="pct"/>
          </w:tcPr>
          <w:p w:rsidR="00E317DB" w:rsidRPr="00C04FFA" w:rsidRDefault="00E317DB" w:rsidP="00E317DB">
            <w:pPr>
              <w:rPr>
                <w:bCs/>
                <w:sz w:val="18"/>
                <w:szCs w:val="18"/>
              </w:rPr>
            </w:pPr>
            <w:r w:rsidRPr="00C04FFA">
              <w:rPr>
                <w:bCs/>
                <w:sz w:val="18"/>
                <w:szCs w:val="18"/>
              </w:rPr>
              <w:t>35</w:t>
            </w:r>
          </w:p>
        </w:tc>
        <w:tc>
          <w:tcPr>
            <w:tcW w:w="4229" w:type="pct"/>
          </w:tcPr>
          <w:p w:rsidR="00E317DB" w:rsidRPr="00C04FFA" w:rsidRDefault="00A960A7" w:rsidP="00350ADC">
            <w:pPr>
              <w:rPr>
                <w:rFonts w:cs="Calibri"/>
                <w:color w:val="0000FF"/>
                <w:sz w:val="18"/>
                <w:szCs w:val="18"/>
                <w:u w:val="single"/>
              </w:rPr>
            </w:pPr>
            <w:hyperlink r:id="rId38" w:history="1">
              <w:r w:rsidR="00E317DB" w:rsidRPr="00C04FFA">
                <w:rPr>
                  <w:rStyle w:val="Hyperlink"/>
                  <w:rFonts w:cs="Calibri"/>
                  <w:sz w:val="18"/>
                  <w:szCs w:val="18"/>
                </w:rPr>
                <w:t>Natural Resources Wales (2019) Do you need to apply for a permit or register an exemption?</w:t>
              </w:r>
            </w:hyperlink>
            <w:r w:rsidR="00E317DB" w:rsidRPr="00C04FFA">
              <w:rPr>
                <w:rFonts w:cs="Calibri"/>
                <w:color w:val="7030A0"/>
                <w:sz w:val="18"/>
                <w:szCs w:val="18"/>
              </w:rPr>
              <w:t xml:space="preserve"> </w:t>
            </w:r>
          </w:p>
        </w:tc>
      </w:tr>
      <w:tr w:rsidR="00E317DB" w:rsidRPr="00C04FFA" w:rsidTr="00C04FFA">
        <w:tc>
          <w:tcPr>
            <w:tcW w:w="771" w:type="pct"/>
          </w:tcPr>
          <w:p w:rsidR="00E317DB" w:rsidRPr="00C04FFA" w:rsidRDefault="00C04FFA" w:rsidP="00E317DB">
            <w:pPr>
              <w:rPr>
                <w:bCs/>
                <w:sz w:val="18"/>
                <w:szCs w:val="18"/>
              </w:rPr>
            </w:pPr>
            <w:r>
              <w:rPr>
                <w:bCs/>
                <w:sz w:val="18"/>
                <w:szCs w:val="18"/>
              </w:rPr>
              <w:t>35</w:t>
            </w:r>
          </w:p>
        </w:tc>
        <w:tc>
          <w:tcPr>
            <w:tcW w:w="4229" w:type="pct"/>
          </w:tcPr>
          <w:p w:rsidR="00E317DB" w:rsidRPr="00C04FFA" w:rsidRDefault="00A960A7" w:rsidP="00350ADC">
            <w:pPr>
              <w:rPr>
                <w:sz w:val="18"/>
                <w:szCs w:val="18"/>
              </w:rPr>
            </w:pPr>
            <w:hyperlink r:id="rId39" w:history="1">
              <w:r w:rsidR="00E317DB" w:rsidRPr="00C04FFA">
                <w:rPr>
                  <w:rStyle w:val="Hyperlink"/>
                  <w:sz w:val="18"/>
                  <w:szCs w:val="18"/>
                </w:rPr>
                <w:t>Environment Agency (2010) Remediation position statements</w:t>
              </w:r>
            </w:hyperlink>
            <w:r w:rsidR="00E317DB" w:rsidRPr="00C04FFA">
              <w:rPr>
                <w:color w:val="7030A0"/>
                <w:sz w:val="18"/>
                <w:szCs w:val="18"/>
              </w:rPr>
              <w:t xml:space="preserve"> </w:t>
            </w:r>
          </w:p>
        </w:tc>
      </w:tr>
      <w:tr w:rsidR="00E317DB" w:rsidRPr="00C04FFA" w:rsidTr="00C234AC">
        <w:tc>
          <w:tcPr>
            <w:tcW w:w="771" w:type="pct"/>
            <w:tcBorders>
              <w:bottom w:val="nil"/>
            </w:tcBorders>
          </w:tcPr>
          <w:p w:rsidR="00E317DB" w:rsidRPr="00C04FFA" w:rsidRDefault="00C04FFA" w:rsidP="00E317DB">
            <w:pPr>
              <w:rPr>
                <w:bCs/>
                <w:sz w:val="18"/>
                <w:szCs w:val="18"/>
              </w:rPr>
            </w:pPr>
            <w:r>
              <w:rPr>
                <w:bCs/>
                <w:sz w:val="18"/>
                <w:szCs w:val="18"/>
              </w:rPr>
              <w:t>35</w:t>
            </w:r>
          </w:p>
        </w:tc>
        <w:tc>
          <w:tcPr>
            <w:tcW w:w="4229" w:type="pct"/>
            <w:tcBorders>
              <w:bottom w:val="nil"/>
            </w:tcBorders>
          </w:tcPr>
          <w:p w:rsidR="00E317DB" w:rsidRPr="00C04FFA" w:rsidRDefault="00A960A7" w:rsidP="00350ADC">
            <w:pPr>
              <w:rPr>
                <w:sz w:val="18"/>
                <w:szCs w:val="18"/>
                <w:highlight w:val="yellow"/>
              </w:rPr>
            </w:pPr>
            <w:hyperlink r:id="rId40" w:history="1">
              <w:r w:rsidR="00E317DB" w:rsidRPr="00C04FFA">
                <w:rPr>
                  <w:rStyle w:val="Hyperlink"/>
                  <w:rFonts w:cs="Calibri"/>
                  <w:sz w:val="18"/>
                  <w:szCs w:val="18"/>
                </w:rPr>
                <w:t>GOV.UK (2018) Water management: abstract or impound water</w:t>
              </w:r>
            </w:hyperlink>
            <w:r w:rsidR="00E317DB" w:rsidRPr="00C04FFA">
              <w:rPr>
                <w:color w:val="7030A0"/>
                <w:sz w:val="18"/>
                <w:szCs w:val="18"/>
              </w:rPr>
              <w:t xml:space="preserve"> </w:t>
            </w:r>
          </w:p>
        </w:tc>
      </w:tr>
      <w:tr w:rsidR="00C234AC" w:rsidRPr="00C04FFA" w:rsidTr="00C234AC">
        <w:tc>
          <w:tcPr>
            <w:tcW w:w="771" w:type="pct"/>
            <w:tcBorders>
              <w:top w:val="nil"/>
              <w:left w:val="nil"/>
              <w:bottom w:val="nil"/>
              <w:right w:val="nil"/>
            </w:tcBorders>
          </w:tcPr>
          <w:p w:rsidR="00C234AC" w:rsidRDefault="00C234AC" w:rsidP="00E317DB">
            <w:pPr>
              <w:rPr>
                <w:bCs/>
                <w:sz w:val="18"/>
                <w:szCs w:val="18"/>
              </w:rPr>
            </w:pPr>
          </w:p>
        </w:tc>
        <w:tc>
          <w:tcPr>
            <w:tcW w:w="4229" w:type="pct"/>
            <w:tcBorders>
              <w:top w:val="nil"/>
              <w:left w:val="nil"/>
              <w:bottom w:val="nil"/>
              <w:right w:val="nil"/>
            </w:tcBorders>
          </w:tcPr>
          <w:p w:rsidR="00C234AC" w:rsidRPr="00C04FFA" w:rsidRDefault="00C234AC" w:rsidP="00350ADC">
            <w:pPr>
              <w:rPr>
                <w:rFonts w:cs="Calibri"/>
                <w:color w:val="7030A0"/>
                <w:sz w:val="18"/>
                <w:szCs w:val="18"/>
              </w:rPr>
            </w:pPr>
          </w:p>
        </w:tc>
      </w:tr>
      <w:tr w:rsidR="00C234AC" w:rsidRPr="00C04FFA" w:rsidTr="00C234AC">
        <w:tc>
          <w:tcPr>
            <w:tcW w:w="771" w:type="pct"/>
            <w:tcBorders>
              <w:top w:val="nil"/>
              <w:left w:val="nil"/>
              <w:bottom w:val="single" w:sz="4" w:space="0" w:color="auto"/>
              <w:right w:val="nil"/>
            </w:tcBorders>
          </w:tcPr>
          <w:p w:rsidR="00C234AC" w:rsidRDefault="00C234AC" w:rsidP="00E317DB">
            <w:pPr>
              <w:rPr>
                <w:bCs/>
                <w:sz w:val="18"/>
                <w:szCs w:val="18"/>
              </w:rPr>
            </w:pPr>
          </w:p>
        </w:tc>
        <w:tc>
          <w:tcPr>
            <w:tcW w:w="4229" w:type="pct"/>
            <w:tcBorders>
              <w:top w:val="nil"/>
              <w:left w:val="nil"/>
              <w:bottom w:val="single" w:sz="4" w:space="0" w:color="auto"/>
              <w:right w:val="nil"/>
            </w:tcBorders>
          </w:tcPr>
          <w:p w:rsidR="00C234AC" w:rsidRPr="00C04FFA" w:rsidRDefault="00C234AC" w:rsidP="00350ADC">
            <w:pPr>
              <w:rPr>
                <w:rFonts w:cs="Calibri"/>
                <w:color w:val="7030A0"/>
                <w:sz w:val="18"/>
                <w:szCs w:val="18"/>
              </w:rPr>
            </w:pPr>
          </w:p>
        </w:tc>
      </w:tr>
      <w:tr w:rsidR="00E317DB" w:rsidRPr="00C04FFA" w:rsidTr="00C234AC">
        <w:tc>
          <w:tcPr>
            <w:tcW w:w="771" w:type="pct"/>
            <w:tcBorders>
              <w:top w:val="single" w:sz="4" w:space="0" w:color="auto"/>
            </w:tcBorders>
          </w:tcPr>
          <w:p w:rsidR="00E317DB" w:rsidRPr="00C04FFA" w:rsidRDefault="00C04FFA" w:rsidP="00E317DB">
            <w:pPr>
              <w:rPr>
                <w:bCs/>
                <w:sz w:val="18"/>
                <w:szCs w:val="18"/>
              </w:rPr>
            </w:pPr>
            <w:r>
              <w:rPr>
                <w:bCs/>
                <w:sz w:val="18"/>
                <w:szCs w:val="18"/>
              </w:rPr>
              <w:t>35</w:t>
            </w:r>
          </w:p>
        </w:tc>
        <w:tc>
          <w:tcPr>
            <w:tcW w:w="4229" w:type="pct"/>
            <w:tcBorders>
              <w:top w:val="single" w:sz="4" w:space="0" w:color="auto"/>
            </w:tcBorders>
          </w:tcPr>
          <w:p w:rsidR="00E317DB" w:rsidRPr="00C04FFA" w:rsidRDefault="00A960A7" w:rsidP="00350ADC">
            <w:pPr>
              <w:rPr>
                <w:rFonts w:cs="Times New Roman"/>
                <w:sz w:val="18"/>
                <w:szCs w:val="18"/>
              </w:rPr>
            </w:pPr>
            <w:hyperlink r:id="rId41" w:history="1">
              <w:r w:rsidR="00E317DB" w:rsidRPr="00C04FFA">
                <w:rPr>
                  <w:rStyle w:val="Hyperlink"/>
                  <w:sz w:val="18"/>
                  <w:szCs w:val="18"/>
                </w:rPr>
                <w:t>Natural Resources Wales (2019) Information about water abstraction or im</w:t>
              </w:r>
              <w:r w:rsidR="00350ADC" w:rsidRPr="00C04FFA">
                <w:rPr>
                  <w:rStyle w:val="Hyperlink"/>
                  <w:sz w:val="18"/>
                  <w:szCs w:val="18"/>
                </w:rPr>
                <w:t>poundment licensing</w:t>
              </w:r>
            </w:hyperlink>
          </w:p>
        </w:tc>
      </w:tr>
      <w:tr w:rsidR="00E317DB" w:rsidRPr="00C04FFA" w:rsidTr="00C04FFA">
        <w:tc>
          <w:tcPr>
            <w:tcW w:w="771" w:type="pct"/>
            <w:tcBorders>
              <w:bottom w:val="single" w:sz="4" w:space="0" w:color="auto"/>
            </w:tcBorders>
          </w:tcPr>
          <w:p w:rsidR="00E317DB" w:rsidRPr="00C04FFA" w:rsidRDefault="00E317DB" w:rsidP="00E317DB">
            <w:pPr>
              <w:rPr>
                <w:bCs/>
                <w:sz w:val="18"/>
                <w:szCs w:val="18"/>
              </w:rPr>
            </w:pPr>
            <w:r w:rsidRPr="00C04FFA">
              <w:rPr>
                <w:bCs/>
                <w:sz w:val="18"/>
                <w:szCs w:val="18"/>
              </w:rPr>
              <w:t>39</w:t>
            </w:r>
          </w:p>
        </w:tc>
        <w:tc>
          <w:tcPr>
            <w:tcW w:w="4229" w:type="pct"/>
            <w:tcBorders>
              <w:bottom w:val="single" w:sz="4" w:space="0" w:color="auto"/>
            </w:tcBorders>
          </w:tcPr>
          <w:p w:rsidR="00E317DB" w:rsidRPr="00C04FFA" w:rsidRDefault="00A960A7" w:rsidP="00350ADC">
            <w:pPr>
              <w:rPr>
                <w:sz w:val="18"/>
                <w:szCs w:val="18"/>
                <w:highlight w:val="yellow"/>
              </w:rPr>
            </w:pPr>
            <w:hyperlink r:id="rId42" w:history="1">
              <w:r w:rsidR="00E317DB" w:rsidRPr="00C04FFA">
                <w:rPr>
                  <w:rStyle w:val="Hyperlink"/>
                  <w:sz w:val="18"/>
                  <w:szCs w:val="18"/>
                </w:rPr>
                <w:t>DEFRA (2018) Waste Duty of Ca</w:t>
              </w:r>
              <w:r w:rsidR="00350ADC" w:rsidRPr="00C04FFA">
                <w:rPr>
                  <w:rStyle w:val="Hyperlink"/>
                  <w:sz w:val="18"/>
                  <w:szCs w:val="18"/>
                </w:rPr>
                <w:t>re Code of Practice</w:t>
              </w:r>
            </w:hyperlink>
          </w:p>
        </w:tc>
      </w:tr>
      <w:tr w:rsidR="00E317DB" w:rsidRPr="00C04FFA" w:rsidTr="00C04FFA">
        <w:tc>
          <w:tcPr>
            <w:tcW w:w="771" w:type="pct"/>
            <w:tcBorders>
              <w:top w:val="single" w:sz="4" w:space="0" w:color="auto"/>
            </w:tcBorders>
          </w:tcPr>
          <w:p w:rsidR="00E317DB" w:rsidRPr="00C04FFA" w:rsidRDefault="00E317DB" w:rsidP="00E317DB">
            <w:pPr>
              <w:rPr>
                <w:bCs/>
                <w:sz w:val="18"/>
                <w:szCs w:val="18"/>
              </w:rPr>
            </w:pPr>
            <w:r w:rsidRPr="00C04FFA">
              <w:rPr>
                <w:bCs/>
                <w:sz w:val="18"/>
                <w:szCs w:val="18"/>
              </w:rPr>
              <w:t>39</w:t>
            </w:r>
          </w:p>
        </w:tc>
        <w:tc>
          <w:tcPr>
            <w:tcW w:w="4229" w:type="pct"/>
            <w:tcBorders>
              <w:top w:val="single" w:sz="4" w:space="0" w:color="auto"/>
            </w:tcBorders>
          </w:tcPr>
          <w:p w:rsidR="00E317DB" w:rsidRPr="00C04FFA" w:rsidRDefault="00A960A7" w:rsidP="00350ADC">
            <w:pPr>
              <w:rPr>
                <w:sz w:val="18"/>
                <w:szCs w:val="18"/>
              </w:rPr>
            </w:pPr>
            <w:hyperlink r:id="rId43" w:history="1">
              <w:r w:rsidR="00E317DB" w:rsidRPr="00C04FFA">
                <w:rPr>
                  <w:rStyle w:val="Hyperlink"/>
                  <w:sz w:val="18"/>
                  <w:szCs w:val="18"/>
                </w:rPr>
                <w:t>GOV.UK (2019) Dispose of business or commercial waste</w:t>
              </w:r>
            </w:hyperlink>
            <w:r w:rsidR="00E317DB" w:rsidRPr="00C04FFA">
              <w:rPr>
                <w:color w:val="7030A0"/>
                <w:sz w:val="18"/>
                <w:szCs w:val="18"/>
              </w:rPr>
              <w:t xml:space="preserve"> </w:t>
            </w:r>
          </w:p>
        </w:tc>
      </w:tr>
      <w:tr w:rsidR="00E317DB" w:rsidRPr="00C04FFA" w:rsidTr="00C04FFA">
        <w:tc>
          <w:tcPr>
            <w:tcW w:w="771" w:type="pct"/>
          </w:tcPr>
          <w:p w:rsidR="00E317DB" w:rsidRPr="00C04FFA" w:rsidRDefault="00E317DB" w:rsidP="00E317DB">
            <w:pPr>
              <w:rPr>
                <w:bCs/>
                <w:sz w:val="18"/>
                <w:szCs w:val="18"/>
              </w:rPr>
            </w:pPr>
            <w:r w:rsidRPr="00C04FFA">
              <w:rPr>
                <w:bCs/>
                <w:sz w:val="18"/>
                <w:szCs w:val="18"/>
              </w:rPr>
              <w:t>39</w:t>
            </w:r>
          </w:p>
        </w:tc>
        <w:tc>
          <w:tcPr>
            <w:tcW w:w="4229" w:type="pct"/>
          </w:tcPr>
          <w:p w:rsidR="00E317DB" w:rsidRPr="00C04FFA" w:rsidRDefault="00A960A7" w:rsidP="00350ADC">
            <w:pPr>
              <w:rPr>
                <w:color w:val="0000FF"/>
                <w:sz w:val="18"/>
                <w:szCs w:val="18"/>
                <w:u w:val="single"/>
              </w:rPr>
            </w:pPr>
            <w:hyperlink r:id="rId44" w:history="1">
              <w:r w:rsidR="00E317DB" w:rsidRPr="00C04FFA">
                <w:rPr>
                  <w:rStyle w:val="Hyperlink"/>
                  <w:sz w:val="18"/>
                  <w:szCs w:val="18"/>
                </w:rPr>
                <w:t>Natural Resources Wales (2019) Register as a waste carrier, broker or dealer</w:t>
              </w:r>
            </w:hyperlink>
            <w:r w:rsidR="00E317DB" w:rsidRPr="00C04FFA">
              <w:rPr>
                <w:color w:val="7030A0"/>
                <w:sz w:val="18"/>
                <w:szCs w:val="18"/>
              </w:rPr>
              <w:t xml:space="preserve"> </w:t>
            </w:r>
          </w:p>
        </w:tc>
      </w:tr>
      <w:tr w:rsidR="00E317DB" w:rsidRPr="00C04FFA" w:rsidTr="00C04FFA">
        <w:tc>
          <w:tcPr>
            <w:tcW w:w="771" w:type="pct"/>
          </w:tcPr>
          <w:p w:rsidR="00E317DB" w:rsidRPr="00C04FFA" w:rsidRDefault="00E317DB" w:rsidP="00E317DB">
            <w:pPr>
              <w:rPr>
                <w:bCs/>
                <w:sz w:val="18"/>
                <w:szCs w:val="18"/>
              </w:rPr>
            </w:pPr>
            <w:r w:rsidRPr="00C04FFA">
              <w:rPr>
                <w:bCs/>
                <w:sz w:val="18"/>
                <w:szCs w:val="18"/>
              </w:rPr>
              <w:t>39,40</w:t>
            </w:r>
          </w:p>
        </w:tc>
        <w:tc>
          <w:tcPr>
            <w:tcW w:w="4229" w:type="pct"/>
          </w:tcPr>
          <w:p w:rsidR="00E317DB" w:rsidRPr="00C04FFA" w:rsidRDefault="00A960A7" w:rsidP="00350ADC">
            <w:pPr>
              <w:rPr>
                <w:sz w:val="18"/>
                <w:szCs w:val="18"/>
              </w:rPr>
            </w:pPr>
            <w:hyperlink r:id="rId45" w:history="1">
              <w:r w:rsidR="00E317DB" w:rsidRPr="00C04FFA">
                <w:rPr>
                  <w:rStyle w:val="Hyperlink"/>
                  <w:sz w:val="18"/>
                  <w:szCs w:val="18"/>
                </w:rPr>
                <w:t>Environment Agency (2010) Waste acceptance at landfills</w:t>
              </w:r>
            </w:hyperlink>
            <w:r w:rsidR="00E317DB" w:rsidRPr="00C04FFA">
              <w:rPr>
                <w:color w:val="7030A0"/>
                <w:sz w:val="18"/>
                <w:szCs w:val="18"/>
              </w:rPr>
              <w:t xml:space="preserve"> </w:t>
            </w:r>
          </w:p>
        </w:tc>
      </w:tr>
      <w:tr w:rsidR="00E317DB" w:rsidRPr="00C04FFA" w:rsidTr="00C04FFA">
        <w:tc>
          <w:tcPr>
            <w:tcW w:w="771" w:type="pct"/>
          </w:tcPr>
          <w:p w:rsidR="00E317DB" w:rsidRPr="00C04FFA" w:rsidRDefault="00E317DB" w:rsidP="00E317DB">
            <w:pPr>
              <w:rPr>
                <w:bCs/>
                <w:sz w:val="18"/>
                <w:szCs w:val="18"/>
              </w:rPr>
            </w:pPr>
            <w:r w:rsidRPr="00C04FFA">
              <w:rPr>
                <w:bCs/>
                <w:sz w:val="18"/>
                <w:szCs w:val="18"/>
              </w:rPr>
              <w:t>40</w:t>
            </w:r>
          </w:p>
        </w:tc>
        <w:tc>
          <w:tcPr>
            <w:tcW w:w="4229" w:type="pct"/>
          </w:tcPr>
          <w:p w:rsidR="00E317DB" w:rsidRPr="00C04FFA" w:rsidRDefault="00A960A7" w:rsidP="00350ADC">
            <w:pPr>
              <w:rPr>
                <w:rFonts w:cs="Calibri"/>
                <w:color w:val="0000FF"/>
                <w:sz w:val="18"/>
                <w:szCs w:val="18"/>
                <w:u w:val="single"/>
              </w:rPr>
            </w:pPr>
            <w:hyperlink r:id="rId46" w:history="1">
              <w:r w:rsidR="00E317DB" w:rsidRPr="00C04FFA">
                <w:rPr>
                  <w:rStyle w:val="Hyperlink"/>
                  <w:rFonts w:cs="Calibri"/>
                  <w:sz w:val="18"/>
                  <w:szCs w:val="18"/>
                </w:rPr>
                <w:t>EU Council Decision – Acceptance of waste at landfills</w:t>
              </w:r>
            </w:hyperlink>
            <w:r w:rsidR="00E317DB" w:rsidRPr="00C04FFA">
              <w:rPr>
                <w:rFonts w:cs="Calibri"/>
                <w:color w:val="7030A0"/>
                <w:sz w:val="18"/>
                <w:szCs w:val="18"/>
              </w:rPr>
              <w:t xml:space="preserve"> </w:t>
            </w:r>
          </w:p>
        </w:tc>
      </w:tr>
      <w:tr w:rsidR="00E317DB" w:rsidRPr="00C04FFA" w:rsidTr="00C04FFA">
        <w:tc>
          <w:tcPr>
            <w:tcW w:w="771" w:type="pct"/>
          </w:tcPr>
          <w:p w:rsidR="00E317DB" w:rsidRPr="00C04FFA" w:rsidRDefault="00E317DB" w:rsidP="00E317DB">
            <w:pPr>
              <w:rPr>
                <w:bCs/>
                <w:sz w:val="18"/>
                <w:szCs w:val="18"/>
              </w:rPr>
            </w:pPr>
            <w:r w:rsidRPr="00C04FFA">
              <w:rPr>
                <w:bCs/>
                <w:sz w:val="18"/>
                <w:szCs w:val="18"/>
              </w:rPr>
              <w:t>40</w:t>
            </w:r>
          </w:p>
        </w:tc>
        <w:tc>
          <w:tcPr>
            <w:tcW w:w="4229" w:type="pct"/>
          </w:tcPr>
          <w:p w:rsidR="00E317DB" w:rsidRPr="00C04FFA" w:rsidRDefault="00A960A7" w:rsidP="00350ADC">
            <w:pPr>
              <w:rPr>
                <w:rFonts w:cs="Calibri"/>
                <w:bCs/>
                <w:sz w:val="18"/>
                <w:szCs w:val="18"/>
              </w:rPr>
            </w:pPr>
            <w:hyperlink r:id="rId47" w:history="1">
              <w:r w:rsidR="00E317DB" w:rsidRPr="00C04FFA">
                <w:rPr>
                  <w:rStyle w:val="Hyperlink"/>
                  <w:rFonts w:cs="Calibri"/>
                  <w:bCs/>
                  <w:sz w:val="18"/>
                  <w:szCs w:val="18"/>
                </w:rPr>
                <w:t>Environment Agency (2013) Contaminated Land Testing</w:t>
              </w:r>
            </w:hyperlink>
            <w:r w:rsidR="00E317DB" w:rsidRPr="00C04FFA">
              <w:rPr>
                <w:rFonts w:cs="Calibri"/>
                <w:bCs/>
                <w:color w:val="7030A0"/>
                <w:sz w:val="18"/>
                <w:szCs w:val="18"/>
              </w:rPr>
              <w:t xml:space="preserve"> </w:t>
            </w:r>
          </w:p>
        </w:tc>
      </w:tr>
      <w:tr w:rsidR="00E317DB" w:rsidRPr="00C04FFA" w:rsidTr="00C04FFA">
        <w:tc>
          <w:tcPr>
            <w:tcW w:w="771" w:type="pct"/>
          </w:tcPr>
          <w:p w:rsidR="00E317DB" w:rsidRPr="00C04FFA" w:rsidRDefault="00E317DB" w:rsidP="00E317DB">
            <w:pPr>
              <w:rPr>
                <w:bCs/>
                <w:sz w:val="18"/>
                <w:szCs w:val="18"/>
              </w:rPr>
            </w:pPr>
            <w:r w:rsidRPr="00C04FFA">
              <w:rPr>
                <w:bCs/>
                <w:sz w:val="18"/>
                <w:szCs w:val="18"/>
              </w:rPr>
              <w:t>40</w:t>
            </w:r>
          </w:p>
        </w:tc>
        <w:tc>
          <w:tcPr>
            <w:tcW w:w="4229" w:type="pct"/>
          </w:tcPr>
          <w:p w:rsidR="00E317DB" w:rsidRPr="00C04FFA" w:rsidRDefault="00A960A7" w:rsidP="00350ADC">
            <w:pPr>
              <w:rPr>
                <w:rFonts w:cs="Calibri"/>
                <w:bCs/>
                <w:color w:val="7030A0"/>
                <w:sz w:val="18"/>
                <w:szCs w:val="18"/>
              </w:rPr>
            </w:pPr>
            <w:hyperlink r:id="rId48" w:history="1">
              <w:r w:rsidR="00E317DB" w:rsidRPr="00C04FFA">
                <w:rPr>
                  <w:rStyle w:val="Hyperlink"/>
                  <w:rFonts w:cs="Calibri"/>
                  <w:bCs/>
                  <w:sz w:val="18"/>
                  <w:szCs w:val="18"/>
                </w:rPr>
                <w:t>Environment Agency (2016) Land con</w:t>
              </w:r>
              <w:r w:rsidR="00350ADC" w:rsidRPr="00C04FFA">
                <w:rPr>
                  <w:rStyle w:val="Hyperlink"/>
                  <w:rFonts w:cs="Calibri"/>
                  <w:bCs/>
                  <w:sz w:val="18"/>
                  <w:szCs w:val="18"/>
                </w:rPr>
                <w:t>tamination: technical guidance</w:t>
              </w:r>
            </w:hyperlink>
          </w:p>
        </w:tc>
      </w:tr>
      <w:tr w:rsidR="00E317DB" w:rsidRPr="00C04FFA" w:rsidTr="00C04FFA">
        <w:tc>
          <w:tcPr>
            <w:tcW w:w="771" w:type="pct"/>
          </w:tcPr>
          <w:p w:rsidR="00E317DB" w:rsidRPr="00C04FFA" w:rsidRDefault="00E317DB" w:rsidP="00E317DB">
            <w:pPr>
              <w:rPr>
                <w:bCs/>
                <w:sz w:val="18"/>
                <w:szCs w:val="18"/>
              </w:rPr>
            </w:pPr>
            <w:r w:rsidRPr="00C04FFA">
              <w:rPr>
                <w:bCs/>
                <w:sz w:val="18"/>
                <w:szCs w:val="18"/>
              </w:rPr>
              <w:t>40</w:t>
            </w:r>
          </w:p>
        </w:tc>
        <w:tc>
          <w:tcPr>
            <w:tcW w:w="4229" w:type="pct"/>
          </w:tcPr>
          <w:p w:rsidR="00E317DB" w:rsidRPr="00C04FFA" w:rsidRDefault="00A960A7" w:rsidP="00350ADC">
            <w:pPr>
              <w:rPr>
                <w:rFonts w:cs="Calibri"/>
                <w:bCs/>
                <w:color w:val="7030A0"/>
                <w:sz w:val="18"/>
                <w:szCs w:val="18"/>
              </w:rPr>
            </w:pPr>
            <w:hyperlink r:id="rId49" w:history="1">
              <w:r w:rsidR="00E317DB" w:rsidRPr="00C04FFA">
                <w:rPr>
                  <w:rStyle w:val="Hyperlink"/>
                  <w:rFonts w:cs="Calibri"/>
                  <w:bCs/>
                  <w:sz w:val="18"/>
                  <w:szCs w:val="18"/>
                </w:rPr>
                <w:t>Environment Agency (2013) Performance standard for laboratories undertaking chemical testing of soil</w:t>
              </w:r>
            </w:hyperlink>
            <w:r w:rsidR="00E317DB" w:rsidRPr="00C04FFA">
              <w:rPr>
                <w:rFonts w:cs="Calibri"/>
                <w:bCs/>
                <w:color w:val="7030A0"/>
                <w:sz w:val="18"/>
                <w:szCs w:val="18"/>
              </w:rPr>
              <w:t xml:space="preserve"> </w:t>
            </w:r>
          </w:p>
        </w:tc>
      </w:tr>
      <w:tr w:rsidR="00E317DB" w:rsidRPr="00C04FFA" w:rsidTr="00C04FFA">
        <w:tc>
          <w:tcPr>
            <w:tcW w:w="771" w:type="pct"/>
          </w:tcPr>
          <w:p w:rsidR="00E317DB" w:rsidRPr="00C04FFA" w:rsidRDefault="00E317DB" w:rsidP="00E317DB">
            <w:pPr>
              <w:rPr>
                <w:bCs/>
                <w:sz w:val="18"/>
                <w:szCs w:val="18"/>
              </w:rPr>
            </w:pPr>
            <w:r w:rsidRPr="00C04FFA">
              <w:rPr>
                <w:bCs/>
                <w:sz w:val="18"/>
                <w:szCs w:val="18"/>
              </w:rPr>
              <w:t>41,42</w:t>
            </w:r>
          </w:p>
        </w:tc>
        <w:tc>
          <w:tcPr>
            <w:tcW w:w="4229" w:type="pct"/>
          </w:tcPr>
          <w:p w:rsidR="00E317DB" w:rsidRPr="00C04FFA" w:rsidRDefault="00A960A7" w:rsidP="00350ADC">
            <w:pPr>
              <w:rPr>
                <w:sz w:val="18"/>
                <w:szCs w:val="18"/>
              </w:rPr>
            </w:pPr>
            <w:hyperlink r:id="rId50" w:history="1">
              <w:r w:rsidR="00E317DB" w:rsidRPr="00C04FFA">
                <w:rPr>
                  <w:rStyle w:val="Hyperlink"/>
                  <w:sz w:val="18"/>
                  <w:szCs w:val="18"/>
                </w:rPr>
                <w:t>Environment Agency (2015) Waste Classification WM3</w:t>
              </w:r>
            </w:hyperlink>
            <w:r w:rsidR="00E317DB" w:rsidRPr="00C04FFA">
              <w:rPr>
                <w:color w:val="7030A0"/>
                <w:sz w:val="18"/>
                <w:szCs w:val="18"/>
              </w:rPr>
              <w:t xml:space="preserve"> </w:t>
            </w:r>
          </w:p>
        </w:tc>
      </w:tr>
      <w:tr w:rsidR="00E317DB" w:rsidRPr="00C04FFA" w:rsidTr="00C04FFA">
        <w:tc>
          <w:tcPr>
            <w:tcW w:w="771" w:type="pct"/>
          </w:tcPr>
          <w:p w:rsidR="00E317DB" w:rsidRPr="00C04FFA" w:rsidRDefault="00E317DB" w:rsidP="00E317DB">
            <w:pPr>
              <w:rPr>
                <w:bCs/>
                <w:sz w:val="18"/>
                <w:szCs w:val="18"/>
              </w:rPr>
            </w:pPr>
            <w:r w:rsidRPr="00C04FFA">
              <w:rPr>
                <w:bCs/>
                <w:sz w:val="18"/>
                <w:szCs w:val="18"/>
              </w:rPr>
              <w:t>42,</w:t>
            </w:r>
          </w:p>
        </w:tc>
        <w:tc>
          <w:tcPr>
            <w:tcW w:w="4229" w:type="pct"/>
          </w:tcPr>
          <w:p w:rsidR="00E317DB" w:rsidRPr="00C04FFA" w:rsidRDefault="00A960A7" w:rsidP="00350ADC">
            <w:pPr>
              <w:rPr>
                <w:color w:val="7030A0"/>
                <w:sz w:val="18"/>
                <w:szCs w:val="18"/>
              </w:rPr>
            </w:pPr>
            <w:hyperlink r:id="rId51" w:history="1">
              <w:r w:rsidR="00E317DB" w:rsidRPr="00C04FFA">
                <w:rPr>
                  <w:rStyle w:val="Hyperlink"/>
                  <w:sz w:val="18"/>
                  <w:szCs w:val="18"/>
                </w:rPr>
                <w:t>Environment Agency (2016) Dispose of waste containing persistent organic pollutants (POPs</w:t>
              </w:r>
              <w:r w:rsidR="00350ADC" w:rsidRPr="00C04FFA">
                <w:rPr>
                  <w:rStyle w:val="Hyperlink"/>
                  <w:sz w:val="18"/>
                  <w:szCs w:val="18"/>
                </w:rPr>
                <w:t>)</w:t>
              </w:r>
            </w:hyperlink>
            <w:r w:rsidR="00E317DB" w:rsidRPr="00C04FFA">
              <w:rPr>
                <w:color w:val="7030A0"/>
                <w:sz w:val="18"/>
                <w:szCs w:val="18"/>
              </w:rPr>
              <w:t xml:space="preserve"> </w:t>
            </w:r>
          </w:p>
        </w:tc>
      </w:tr>
      <w:tr w:rsidR="00E317DB" w:rsidRPr="00C04FFA" w:rsidTr="00C04FFA">
        <w:tc>
          <w:tcPr>
            <w:tcW w:w="771" w:type="pct"/>
          </w:tcPr>
          <w:p w:rsidR="00E317DB" w:rsidRPr="00C04FFA" w:rsidRDefault="00E317DB" w:rsidP="00E317DB">
            <w:pPr>
              <w:rPr>
                <w:bCs/>
                <w:sz w:val="18"/>
                <w:szCs w:val="18"/>
              </w:rPr>
            </w:pPr>
            <w:r w:rsidRPr="00C04FFA">
              <w:rPr>
                <w:bCs/>
                <w:sz w:val="18"/>
                <w:szCs w:val="18"/>
              </w:rPr>
              <w:t>44</w:t>
            </w:r>
          </w:p>
        </w:tc>
        <w:tc>
          <w:tcPr>
            <w:tcW w:w="4229" w:type="pct"/>
          </w:tcPr>
          <w:p w:rsidR="00E317DB" w:rsidRPr="00C04FFA" w:rsidRDefault="00A960A7" w:rsidP="00350ADC">
            <w:pPr>
              <w:rPr>
                <w:rFonts w:cs="Calibri"/>
                <w:bCs/>
                <w:sz w:val="18"/>
                <w:szCs w:val="18"/>
              </w:rPr>
            </w:pPr>
            <w:hyperlink r:id="rId52" w:history="1">
              <w:r w:rsidR="00E317DB" w:rsidRPr="00C04FFA">
                <w:rPr>
                  <w:rStyle w:val="Hyperlink"/>
                  <w:rFonts w:cs="Calibri"/>
                  <w:bCs/>
                  <w:sz w:val="18"/>
                  <w:szCs w:val="18"/>
                </w:rPr>
                <w:t>CL:AIRE Asbestos in Soil and Const</w:t>
              </w:r>
              <w:r w:rsidR="00350ADC" w:rsidRPr="00C04FFA">
                <w:rPr>
                  <w:rStyle w:val="Hyperlink"/>
                  <w:rFonts w:cs="Calibri"/>
                  <w:bCs/>
                  <w:sz w:val="18"/>
                  <w:szCs w:val="18"/>
                </w:rPr>
                <w:t>ruction &amp; Demolition Materials</w:t>
              </w:r>
            </w:hyperlink>
          </w:p>
        </w:tc>
      </w:tr>
      <w:tr w:rsidR="00E317DB" w:rsidRPr="00C04FFA" w:rsidTr="00C04FFA">
        <w:tc>
          <w:tcPr>
            <w:tcW w:w="771" w:type="pct"/>
          </w:tcPr>
          <w:p w:rsidR="00E317DB" w:rsidRPr="00C04FFA" w:rsidRDefault="00E317DB" w:rsidP="00E317DB">
            <w:pPr>
              <w:rPr>
                <w:bCs/>
                <w:sz w:val="18"/>
                <w:szCs w:val="18"/>
              </w:rPr>
            </w:pPr>
            <w:r w:rsidRPr="00C04FFA">
              <w:rPr>
                <w:bCs/>
                <w:sz w:val="18"/>
                <w:szCs w:val="18"/>
              </w:rPr>
              <w:t>47,50,51</w:t>
            </w:r>
          </w:p>
        </w:tc>
        <w:tc>
          <w:tcPr>
            <w:tcW w:w="4229" w:type="pct"/>
          </w:tcPr>
          <w:p w:rsidR="00E317DB" w:rsidRPr="00C04FFA" w:rsidRDefault="00A960A7" w:rsidP="00350ADC">
            <w:pPr>
              <w:rPr>
                <w:rFonts w:cs="Times New Roman"/>
                <w:sz w:val="18"/>
                <w:szCs w:val="18"/>
              </w:rPr>
            </w:pPr>
            <w:hyperlink r:id="rId53" w:history="1">
              <w:r w:rsidR="00E317DB" w:rsidRPr="00C04FFA">
                <w:rPr>
                  <w:rStyle w:val="Hyperlink"/>
                  <w:rFonts w:cs="Calibri"/>
                  <w:sz w:val="18"/>
                  <w:szCs w:val="18"/>
                </w:rPr>
                <w:t>Natural Resources Wales (2014) How to comply with your environmental permit</w:t>
              </w:r>
            </w:hyperlink>
            <w:r w:rsidR="00E317DB" w:rsidRPr="00C04FFA">
              <w:rPr>
                <w:rFonts w:cs="Calibri"/>
                <w:color w:val="7030A0"/>
                <w:sz w:val="18"/>
                <w:szCs w:val="18"/>
              </w:rPr>
              <w:t xml:space="preserve"> </w:t>
            </w:r>
          </w:p>
        </w:tc>
      </w:tr>
      <w:tr w:rsidR="00E317DB" w:rsidRPr="00C04FFA" w:rsidTr="00C04FFA">
        <w:tc>
          <w:tcPr>
            <w:tcW w:w="771" w:type="pct"/>
          </w:tcPr>
          <w:p w:rsidR="00E317DB" w:rsidRPr="00C04FFA" w:rsidRDefault="00E317DB" w:rsidP="00E317DB">
            <w:pPr>
              <w:rPr>
                <w:bCs/>
                <w:sz w:val="18"/>
                <w:szCs w:val="18"/>
              </w:rPr>
            </w:pPr>
            <w:r w:rsidRPr="00C04FFA">
              <w:rPr>
                <w:bCs/>
                <w:sz w:val="18"/>
                <w:szCs w:val="18"/>
              </w:rPr>
              <w:t>47</w:t>
            </w:r>
          </w:p>
        </w:tc>
        <w:tc>
          <w:tcPr>
            <w:tcW w:w="4229" w:type="pct"/>
          </w:tcPr>
          <w:p w:rsidR="00E317DB" w:rsidRPr="00C04FFA" w:rsidRDefault="00A960A7" w:rsidP="00350ADC">
            <w:pPr>
              <w:rPr>
                <w:rFonts w:cs="Times New Roman"/>
                <w:sz w:val="18"/>
                <w:szCs w:val="18"/>
              </w:rPr>
            </w:pPr>
            <w:hyperlink r:id="rId54" w:history="1">
              <w:r w:rsidR="00E317DB" w:rsidRPr="00C04FFA">
                <w:rPr>
                  <w:rStyle w:val="Hyperlink"/>
                  <w:sz w:val="18"/>
                  <w:szCs w:val="18"/>
                </w:rPr>
                <w:t>DEFRA (2018) Control and monitor emissions</w:t>
              </w:r>
              <w:r w:rsidR="00350ADC" w:rsidRPr="00C04FFA">
                <w:rPr>
                  <w:rStyle w:val="Hyperlink"/>
                  <w:sz w:val="18"/>
                  <w:szCs w:val="18"/>
                </w:rPr>
                <w:t xml:space="preserve"> for your environmental permit</w:t>
              </w:r>
            </w:hyperlink>
          </w:p>
        </w:tc>
      </w:tr>
      <w:tr w:rsidR="00E317DB" w:rsidRPr="00C04FFA" w:rsidTr="00C04FFA">
        <w:tc>
          <w:tcPr>
            <w:tcW w:w="771" w:type="pct"/>
          </w:tcPr>
          <w:p w:rsidR="00E317DB" w:rsidRPr="00C04FFA" w:rsidRDefault="00E317DB" w:rsidP="00E317DB">
            <w:pPr>
              <w:rPr>
                <w:bCs/>
                <w:sz w:val="18"/>
                <w:szCs w:val="18"/>
              </w:rPr>
            </w:pPr>
            <w:r w:rsidRPr="00C04FFA">
              <w:rPr>
                <w:bCs/>
                <w:sz w:val="18"/>
                <w:szCs w:val="18"/>
              </w:rPr>
              <w:t>48</w:t>
            </w:r>
          </w:p>
        </w:tc>
        <w:tc>
          <w:tcPr>
            <w:tcW w:w="4229" w:type="pct"/>
          </w:tcPr>
          <w:p w:rsidR="00E317DB" w:rsidRPr="00C04FFA" w:rsidRDefault="00A960A7" w:rsidP="00350ADC">
            <w:pPr>
              <w:rPr>
                <w:sz w:val="18"/>
                <w:szCs w:val="18"/>
              </w:rPr>
            </w:pPr>
            <w:hyperlink r:id="rId55" w:history="1">
              <w:r w:rsidR="00E317DB" w:rsidRPr="00C04FFA">
                <w:rPr>
                  <w:rStyle w:val="Hyperlink"/>
                  <w:sz w:val="18"/>
                  <w:szCs w:val="18"/>
                </w:rPr>
                <w:t>Environment Agency (2011) Additional guidance for H4 Odour Management</w:t>
              </w:r>
            </w:hyperlink>
            <w:r w:rsidR="00E317DB" w:rsidRPr="00C04FFA">
              <w:rPr>
                <w:color w:val="7030A0"/>
                <w:sz w:val="18"/>
                <w:szCs w:val="18"/>
              </w:rPr>
              <w:t xml:space="preserve"> </w:t>
            </w:r>
          </w:p>
        </w:tc>
      </w:tr>
      <w:tr w:rsidR="00E317DB" w:rsidRPr="00C04FFA" w:rsidTr="00C04FFA">
        <w:tc>
          <w:tcPr>
            <w:tcW w:w="771" w:type="pct"/>
          </w:tcPr>
          <w:p w:rsidR="00E317DB" w:rsidRPr="00C04FFA" w:rsidRDefault="00E317DB" w:rsidP="00E317DB">
            <w:pPr>
              <w:rPr>
                <w:bCs/>
                <w:sz w:val="18"/>
                <w:szCs w:val="18"/>
              </w:rPr>
            </w:pPr>
            <w:r w:rsidRPr="00C04FFA">
              <w:rPr>
                <w:bCs/>
                <w:sz w:val="18"/>
                <w:szCs w:val="18"/>
              </w:rPr>
              <w:t>49</w:t>
            </w:r>
          </w:p>
        </w:tc>
        <w:tc>
          <w:tcPr>
            <w:tcW w:w="4229" w:type="pct"/>
          </w:tcPr>
          <w:p w:rsidR="00E317DB" w:rsidRPr="00C04FFA" w:rsidRDefault="00A960A7" w:rsidP="00350ADC">
            <w:pPr>
              <w:rPr>
                <w:sz w:val="18"/>
                <w:szCs w:val="18"/>
              </w:rPr>
            </w:pPr>
            <w:hyperlink r:id="rId56" w:history="1">
              <w:r w:rsidR="00E317DB" w:rsidRPr="00C04FFA">
                <w:rPr>
                  <w:rStyle w:val="Hyperlink"/>
                  <w:sz w:val="18"/>
                  <w:szCs w:val="18"/>
                </w:rPr>
                <w:t>Environment Agency (2002) Horizontal Guidance for</w:t>
              </w:r>
              <w:r w:rsidR="00350ADC" w:rsidRPr="00C04FFA">
                <w:rPr>
                  <w:rStyle w:val="Hyperlink"/>
                  <w:sz w:val="18"/>
                  <w:szCs w:val="18"/>
                </w:rPr>
                <w:t xml:space="preserve"> Noise</w:t>
              </w:r>
            </w:hyperlink>
          </w:p>
        </w:tc>
      </w:tr>
      <w:tr w:rsidR="00E317DB" w:rsidRPr="00C04FFA" w:rsidTr="00C04FFA">
        <w:tc>
          <w:tcPr>
            <w:tcW w:w="771" w:type="pct"/>
          </w:tcPr>
          <w:p w:rsidR="00E317DB" w:rsidRPr="00C04FFA" w:rsidRDefault="00E317DB" w:rsidP="00E317DB">
            <w:pPr>
              <w:rPr>
                <w:bCs/>
                <w:sz w:val="18"/>
                <w:szCs w:val="18"/>
              </w:rPr>
            </w:pPr>
            <w:r w:rsidRPr="00C04FFA">
              <w:rPr>
                <w:bCs/>
                <w:sz w:val="18"/>
                <w:szCs w:val="18"/>
              </w:rPr>
              <w:t>50</w:t>
            </w:r>
          </w:p>
        </w:tc>
        <w:tc>
          <w:tcPr>
            <w:tcW w:w="4229" w:type="pct"/>
          </w:tcPr>
          <w:p w:rsidR="00E317DB" w:rsidRPr="00C04FFA" w:rsidRDefault="00A960A7" w:rsidP="00350ADC">
            <w:pPr>
              <w:rPr>
                <w:sz w:val="18"/>
                <w:szCs w:val="18"/>
                <w:highlight w:val="yellow"/>
              </w:rPr>
            </w:pPr>
            <w:hyperlink r:id="rId57" w:history="1">
              <w:r w:rsidR="00E317DB" w:rsidRPr="00C04FFA">
                <w:rPr>
                  <w:rStyle w:val="Hyperlink"/>
                  <w:sz w:val="18"/>
                  <w:szCs w:val="18"/>
                </w:rPr>
                <w:t>Environment Agency (2018) Temporary dewatering fro</w:t>
              </w:r>
              <w:r w:rsidR="00350ADC" w:rsidRPr="00C04FFA">
                <w:rPr>
                  <w:rStyle w:val="Hyperlink"/>
                  <w:sz w:val="18"/>
                  <w:szCs w:val="18"/>
                </w:rPr>
                <w:t>m excavations to surface water</w:t>
              </w:r>
            </w:hyperlink>
          </w:p>
        </w:tc>
      </w:tr>
      <w:tr w:rsidR="00E317DB" w:rsidRPr="00C04FFA" w:rsidTr="00C04FFA">
        <w:tc>
          <w:tcPr>
            <w:tcW w:w="771" w:type="pct"/>
          </w:tcPr>
          <w:p w:rsidR="00E317DB" w:rsidRPr="00C04FFA" w:rsidRDefault="00E317DB" w:rsidP="00E317DB">
            <w:pPr>
              <w:rPr>
                <w:bCs/>
                <w:sz w:val="18"/>
                <w:szCs w:val="18"/>
              </w:rPr>
            </w:pPr>
            <w:r w:rsidRPr="00C04FFA">
              <w:rPr>
                <w:bCs/>
                <w:sz w:val="18"/>
                <w:szCs w:val="18"/>
              </w:rPr>
              <w:t>50</w:t>
            </w:r>
          </w:p>
        </w:tc>
        <w:tc>
          <w:tcPr>
            <w:tcW w:w="4229" w:type="pct"/>
          </w:tcPr>
          <w:p w:rsidR="00E317DB" w:rsidRPr="00C04FFA" w:rsidRDefault="00A960A7" w:rsidP="00350ADC">
            <w:pPr>
              <w:rPr>
                <w:sz w:val="18"/>
                <w:szCs w:val="18"/>
              </w:rPr>
            </w:pPr>
            <w:hyperlink r:id="rId58" w:history="1">
              <w:r w:rsidR="00E317DB" w:rsidRPr="00C04FFA">
                <w:rPr>
                  <w:rStyle w:val="Hyperlink"/>
                  <w:sz w:val="18"/>
                  <w:szCs w:val="18"/>
                </w:rPr>
                <w:t>Natural Resources Wales (2019) Discharges to surface water/ and groundwater</w:t>
              </w:r>
            </w:hyperlink>
            <w:r w:rsidR="00E317DB" w:rsidRPr="00C04FFA">
              <w:rPr>
                <w:sz w:val="18"/>
                <w:szCs w:val="18"/>
              </w:rPr>
              <w:t xml:space="preserve"> </w:t>
            </w:r>
          </w:p>
        </w:tc>
      </w:tr>
      <w:tr w:rsidR="00E317DB" w:rsidRPr="00C04FFA" w:rsidTr="00C04FFA">
        <w:tc>
          <w:tcPr>
            <w:tcW w:w="771" w:type="pct"/>
          </w:tcPr>
          <w:p w:rsidR="00E317DB" w:rsidRPr="00C04FFA" w:rsidRDefault="00E317DB" w:rsidP="00E317DB">
            <w:pPr>
              <w:rPr>
                <w:bCs/>
                <w:sz w:val="18"/>
                <w:szCs w:val="18"/>
              </w:rPr>
            </w:pPr>
            <w:r w:rsidRPr="00C04FFA">
              <w:rPr>
                <w:bCs/>
                <w:sz w:val="18"/>
                <w:szCs w:val="18"/>
              </w:rPr>
              <w:t>52</w:t>
            </w:r>
          </w:p>
        </w:tc>
        <w:tc>
          <w:tcPr>
            <w:tcW w:w="4229" w:type="pct"/>
          </w:tcPr>
          <w:p w:rsidR="00E317DB" w:rsidRPr="00C04FFA" w:rsidRDefault="00A960A7" w:rsidP="00350ADC">
            <w:pPr>
              <w:rPr>
                <w:rFonts w:cs="Calibri"/>
                <w:bCs/>
                <w:sz w:val="18"/>
                <w:szCs w:val="18"/>
                <w:highlight w:val="yellow"/>
              </w:rPr>
            </w:pPr>
            <w:hyperlink r:id="rId59" w:anchor="prevent-the-spread-of-harmful-weeds" w:history="1">
              <w:r w:rsidR="00E317DB" w:rsidRPr="00C04FFA">
                <w:rPr>
                  <w:rStyle w:val="Hyperlink"/>
                  <w:rFonts w:cs="Calibri"/>
                  <w:bCs/>
                  <w:sz w:val="18"/>
                  <w:szCs w:val="18"/>
                </w:rPr>
                <w:t>DEFRA (2016) Prevent harmful weeds and invasive non-native plants spreading</w:t>
              </w:r>
            </w:hyperlink>
            <w:r w:rsidR="00E317DB" w:rsidRPr="00C04FFA">
              <w:rPr>
                <w:rFonts w:cs="Calibri"/>
                <w:bCs/>
                <w:color w:val="7030A0"/>
                <w:sz w:val="18"/>
                <w:szCs w:val="18"/>
              </w:rPr>
              <w:t xml:space="preserve"> </w:t>
            </w:r>
          </w:p>
        </w:tc>
      </w:tr>
      <w:tr w:rsidR="00E317DB" w:rsidRPr="00C04FFA" w:rsidTr="00C04FFA">
        <w:tc>
          <w:tcPr>
            <w:tcW w:w="771" w:type="pct"/>
          </w:tcPr>
          <w:p w:rsidR="00E317DB" w:rsidRPr="00C04FFA" w:rsidRDefault="00E317DB" w:rsidP="00E317DB">
            <w:pPr>
              <w:rPr>
                <w:bCs/>
                <w:sz w:val="18"/>
                <w:szCs w:val="18"/>
              </w:rPr>
            </w:pPr>
            <w:r w:rsidRPr="00C04FFA">
              <w:rPr>
                <w:bCs/>
                <w:sz w:val="18"/>
                <w:szCs w:val="18"/>
              </w:rPr>
              <w:t>52</w:t>
            </w:r>
          </w:p>
        </w:tc>
        <w:tc>
          <w:tcPr>
            <w:tcW w:w="4229" w:type="pct"/>
          </w:tcPr>
          <w:p w:rsidR="00E317DB" w:rsidRPr="00C04FFA" w:rsidRDefault="00A960A7" w:rsidP="00350ADC">
            <w:pPr>
              <w:rPr>
                <w:rFonts w:cs="Calibri"/>
                <w:bCs/>
                <w:sz w:val="18"/>
                <w:szCs w:val="18"/>
              </w:rPr>
            </w:pPr>
            <w:hyperlink r:id="rId60" w:history="1">
              <w:r w:rsidR="00E317DB" w:rsidRPr="00C04FFA">
                <w:rPr>
                  <w:rStyle w:val="Hyperlink"/>
                  <w:rFonts w:cs="Calibri"/>
                  <w:bCs/>
                  <w:sz w:val="18"/>
                  <w:szCs w:val="18"/>
                </w:rPr>
                <w:t>DEFRA (2018) Prevent Japanese knotweed from spreading</w:t>
              </w:r>
            </w:hyperlink>
            <w:r w:rsidR="00E317DB" w:rsidRPr="00C04FFA">
              <w:rPr>
                <w:rFonts w:cs="Calibri"/>
                <w:bCs/>
                <w:color w:val="7030A0"/>
                <w:sz w:val="18"/>
                <w:szCs w:val="18"/>
              </w:rPr>
              <w:t xml:space="preserve"> </w:t>
            </w:r>
          </w:p>
        </w:tc>
      </w:tr>
      <w:tr w:rsidR="00E317DB" w:rsidRPr="00C04FFA" w:rsidTr="00C04FFA">
        <w:tc>
          <w:tcPr>
            <w:tcW w:w="771" w:type="pct"/>
          </w:tcPr>
          <w:p w:rsidR="00E317DB" w:rsidRPr="00C04FFA" w:rsidRDefault="00E317DB" w:rsidP="00E317DB">
            <w:pPr>
              <w:rPr>
                <w:bCs/>
                <w:sz w:val="18"/>
                <w:szCs w:val="18"/>
              </w:rPr>
            </w:pPr>
            <w:r w:rsidRPr="00C04FFA">
              <w:rPr>
                <w:bCs/>
                <w:sz w:val="18"/>
                <w:szCs w:val="18"/>
              </w:rPr>
              <w:t>52</w:t>
            </w:r>
          </w:p>
        </w:tc>
        <w:tc>
          <w:tcPr>
            <w:tcW w:w="4229" w:type="pct"/>
          </w:tcPr>
          <w:p w:rsidR="00E317DB" w:rsidRPr="00C04FFA" w:rsidRDefault="00A960A7" w:rsidP="00350ADC">
            <w:pPr>
              <w:rPr>
                <w:color w:val="7030A0"/>
                <w:sz w:val="18"/>
                <w:szCs w:val="18"/>
              </w:rPr>
            </w:pPr>
            <w:hyperlink r:id="rId61" w:history="1">
              <w:r w:rsidR="00350ADC" w:rsidRPr="00C04FFA">
                <w:rPr>
                  <w:rStyle w:val="Hyperlink"/>
                  <w:sz w:val="18"/>
                  <w:szCs w:val="18"/>
                </w:rPr>
                <w:t>Japanese Knotweed</w:t>
              </w:r>
            </w:hyperlink>
          </w:p>
        </w:tc>
      </w:tr>
      <w:tr w:rsidR="00E317DB" w:rsidRPr="00C04FFA" w:rsidTr="00C04FFA">
        <w:tc>
          <w:tcPr>
            <w:tcW w:w="771" w:type="pct"/>
          </w:tcPr>
          <w:p w:rsidR="00E317DB" w:rsidRPr="00C04FFA" w:rsidRDefault="00E317DB" w:rsidP="00E317DB">
            <w:pPr>
              <w:rPr>
                <w:bCs/>
                <w:sz w:val="18"/>
                <w:szCs w:val="18"/>
              </w:rPr>
            </w:pPr>
            <w:r w:rsidRPr="00C04FFA">
              <w:rPr>
                <w:bCs/>
                <w:sz w:val="18"/>
                <w:szCs w:val="18"/>
              </w:rPr>
              <w:t>53</w:t>
            </w:r>
          </w:p>
        </w:tc>
        <w:tc>
          <w:tcPr>
            <w:tcW w:w="4229" w:type="pct"/>
          </w:tcPr>
          <w:p w:rsidR="00E317DB" w:rsidRPr="00C04FFA" w:rsidRDefault="00A960A7" w:rsidP="00350ADC">
            <w:pPr>
              <w:rPr>
                <w:color w:val="7030A0"/>
                <w:sz w:val="18"/>
                <w:szCs w:val="18"/>
              </w:rPr>
            </w:pPr>
            <w:hyperlink r:id="rId62" w:history="1">
              <w:r w:rsidR="00E317DB" w:rsidRPr="00C04FFA">
                <w:rPr>
                  <w:rStyle w:val="Hyperlink"/>
                  <w:sz w:val="18"/>
                  <w:szCs w:val="18"/>
                </w:rPr>
                <w:t>Environment Agency (2016) Monitoring volatile organic co</w:t>
              </w:r>
              <w:r w:rsidR="00350ADC" w:rsidRPr="00C04FFA">
                <w:rPr>
                  <w:rStyle w:val="Hyperlink"/>
                  <w:sz w:val="18"/>
                  <w:szCs w:val="18"/>
                </w:rPr>
                <w:t>mpounds in stack gas emissions</w:t>
              </w:r>
            </w:hyperlink>
          </w:p>
        </w:tc>
      </w:tr>
      <w:tr w:rsidR="00E317DB" w:rsidRPr="00C04FFA" w:rsidTr="00C04FFA">
        <w:tc>
          <w:tcPr>
            <w:tcW w:w="771" w:type="pct"/>
          </w:tcPr>
          <w:p w:rsidR="00E317DB" w:rsidRPr="00C04FFA" w:rsidRDefault="00E317DB" w:rsidP="00E317DB">
            <w:pPr>
              <w:rPr>
                <w:bCs/>
                <w:sz w:val="18"/>
                <w:szCs w:val="18"/>
              </w:rPr>
            </w:pPr>
            <w:r w:rsidRPr="00C04FFA">
              <w:rPr>
                <w:bCs/>
                <w:sz w:val="18"/>
                <w:szCs w:val="18"/>
              </w:rPr>
              <w:t>56,57</w:t>
            </w:r>
          </w:p>
        </w:tc>
        <w:tc>
          <w:tcPr>
            <w:tcW w:w="4229" w:type="pct"/>
          </w:tcPr>
          <w:p w:rsidR="00E317DB" w:rsidRPr="00C04FFA" w:rsidRDefault="00A960A7" w:rsidP="00350ADC">
            <w:pPr>
              <w:rPr>
                <w:color w:val="0000FF"/>
                <w:sz w:val="18"/>
                <w:szCs w:val="18"/>
                <w:highlight w:val="yellow"/>
                <w:u w:val="single"/>
              </w:rPr>
            </w:pPr>
            <w:hyperlink r:id="rId63" w:history="1">
              <w:r w:rsidR="00E317DB" w:rsidRPr="00C04FFA">
                <w:rPr>
                  <w:rStyle w:val="Hyperlink"/>
                  <w:sz w:val="18"/>
                  <w:szCs w:val="18"/>
                </w:rPr>
                <w:t>Environment Agency (2017) Waste exemptions: Use of waste in construction</w:t>
              </w:r>
            </w:hyperlink>
            <w:r w:rsidR="00E317DB" w:rsidRPr="00C04FFA">
              <w:rPr>
                <w:color w:val="7030A0"/>
                <w:sz w:val="18"/>
                <w:szCs w:val="18"/>
              </w:rPr>
              <w:t xml:space="preserve"> </w:t>
            </w:r>
          </w:p>
        </w:tc>
      </w:tr>
      <w:tr w:rsidR="00E317DB" w:rsidRPr="00C04FFA" w:rsidTr="00C04FFA">
        <w:tc>
          <w:tcPr>
            <w:tcW w:w="771" w:type="pct"/>
          </w:tcPr>
          <w:p w:rsidR="00E317DB" w:rsidRPr="00C04FFA" w:rsidRDefault="00E317DB" w:rsidP="00E317DB">
            <w:pPr>
              <w:rPr>
                <w:bCs/>
                <w:sz w:val="18"/>
                <w:szCs w:val="18"/>
              </w:rPr>
            </w:pPr>
            <w:r w:rsidRPr="00C04FFA">
              <w:rPr>
                <w:bCs/>
                <w:sz w:val="18"/>
                <w:szCs w:val="18"/>
              </w:rPr>
              <w:t>56,57</w:t>
            </w:r>
          </w:p>
        </w:tc>
        <w:tc>
          <w:tcPr>
            <w:tcW w:w="4229" w:type="pct"/>
          </w:tcPr>
          <w:p w:rsidR="00E317DB" w:rsidRPr="00C04FFA" w:rsidRDefault="00A960A7" w:rsidP="00350ADC">
            <w:pPr>
              <w:rPr>
                <w:rFonts w:cs="Calibri"/>
                <w:bCs/>
                <w:sz w:val="18"/>
                <w:szCs w:val="18"/>
                <w:highlight w:val="yellow"/>
              </w:rPr>
            </w:pPr>
            <w:hyperlink r:id="rId64" w:history="1">
              <w:r w:rsidR="00E317DB" w:rsidRPr="00C04FFA">
                <w:rPr>
                  <w:rStyle w:val="Hyperlink"/>
                  <w:rFonts w:cs="Calibri"/>
                  <w:bCs/>
                  <w:sz w:val="18"/>
                  <w:szCs w:val="18"/>
                </w:rPr>
                <w:t>GOV.UK (2018) Turn your waste into a new</w:t>
              </w:r>
              <w:r w:rsidR="00350ADC" w:rsidRPr="00C04FFA">
                <w:rPr>
                  <w:rStyle w:val="Hyperlink"/>
                  <w:rFonts w:cs="Calibri"/>
                  <w:bCs/>
                  <w:sz w:val="18"/>
                  <w:szCs w:val="18"/>
                </w:rPr>
                <w:t xml:space="preserve"> non-waste product or material</w:t>
              </w:r>
            </w:hyperlink>
          </w:p>
        </w:tc>
      </w:tr>
      <w:tr w:rsidR="00E317DB" w:rsidRPr="00C04FFA" w:rsidTr="00C04FFA">
        <w:tc>
          <w:tcPr>
            <w:tcW w:w="771" w:type="pct"/>
          </w:tcPr>
          <w:p w:rsidR="00E317DB" w:rsidRPr="00C04FFA" w:rsidRDefault="00E317DB" w:rsidP="00E317DB">
            <w:pPr>
              <w:rPr>
                <w:bCs/>
                <w:sz w:val="18"/>
                <w:szCs w:val="18"/>
              </w:rPr>
            </w:pPr>
            <w:r w:rsidRPr="00C04FFA">
              <w:rPr>
                <w:bCs/>
                <w:sz w:val="18"/>
                <w:szCs w:val="18"/>
              </w:rPr>
              <w:t>56,57</w:t>
            </w:r>
          </w:p>
        </w:tc>
        <w:tc>
          <w:tcPr>
            <w:tcW w:w="4229" w:type="pct"/>
          </w:tcPr>
          <w:p w:rsidR="00E317DB" w:rsidRPr="00C04FFA" w:rsidRDefault="00A960A7" w:rsidP="00350ADC">
            <w:pPr>
              <w:rPr>
                <w:rFonts w:cs="Calibri"/>
                <w:bCs/>
                <w:sz w:val="18"/>
                <w:szCs w:val="18"/>
              </w:rPr>
            </w:pPr>
            <w:hyperlink r:id="rId65" w:history="1">
              <w:r w:rsidR="00E317DB" w:rsidRPr="00C04FFA">
                <w:rPr>
                  <w:rStyle w:val="Hyperlink"/>
                  <w:rFonts w:cs="Calibri"/>
                  <w:bCs/>
                  <w:sz w:val="18"/>
                  <w:szCs w:val="18"/>
                </w:rPr>
                <w:t>CL:AIRE The Definition of Waste: Development Industry Code of Practice</w:t>
              </w:r>
            </w:hyperlink>
            <w:r w:rsidR="00E317DB" w:rsidRPr="00C04FFA">
              <w:rPr>
                <w:rFonts w:cs="Calibri"/>
                <w:bCs/>
                <w:color w:val="7030A0"/>
                <w:sz w:val="18"/>
                <w:szCs w:val="18"/>
              </w:rPr>
              <w:t xml:space="preserve"> </w:t>
            </w:r>
          </w:p>
        </w:tc>
      </w:tr>
    </w:tbl>
    <w:p w:rsidR="00A674E5" w:rsidRDefault="00C02BF3" w:rsidP="00C02BF3">
      <w:pPr>
        <w:spacing w:before="240"/>
        <w:rPr>
          <w:i/>
        </w:rPr>
      </w:pPr>
      <w:r w:rsidRPr="00C02BF3">
        <w:rPr>
          <w:b/>
          <w:i/>
        </w:rPr>
        <w:t>Please note:</w:t>
      </w:r>
      <w:r w:rsidRPr="00C02BF3">
        <w:rPr>
          <w:i/>
        </w:rPr>
        <w:t xml:space="preserve"> this information was correct at the time of publishing. If you find these links are broken, type the document title into a search engine</w:t>
      </w:r>
      <w:r>
        <w:rPr>
          <w:i/>
        </w:rPr>
        <w:t>.</w:t>
      </w:r>
    </w:p>
    <w:p w:rsidR="00A6136C" w:rsidRDefault="00A6136C" w:rsidP="00A6136C">
      <w:pPr>
        <w:spacing w:before="240" w:after="0"/>
        <w:rPr>
          <w:i/>
        </w:rPr>
      </w:pPr>
    </w:p>
    <w:p w:rsidR="00C04FFA" w:rsidRDefault="00C04FFA" w:rsidP="00A6136C">
      <w:pPr>
        <w:spacing w:before="240" w:after="0"/>
        <w:rPr>
          <w:i/>
        </w:rPr>
      </w:pPr>
    </w:p>
    <w:tbl>
      <w:tblPr>
        <w:tblStyle w:val="TableGrid"/>
        <w:tblW w:w="0" w:type="auto"/>
        <w:tblLook w:val="04A0" w:firstRow="1" w:lastRow="0" w:firstColumn="1" w:lastColumn="0" w:noHBand="0" w:noVBand="1"/>
      </w:tblPr>
      <w:tblGrid>
        <w:gridCol w:w="4375"/>
      </w:tblGrid>
      <w:tr w:rsidR="00A6136C" w:rsidTr="00A6136C">
        <w:tc>
          <w:tcPr>
            <w:tcW w:w="4375" w:type="dxa"/>
            <w:tcBorders>
              <w:top w:val="single" w:sz="4" w:space="0" w:color="7030A0"/>
              <w:left w:val="single" w:sz="4" w:space="0" w:color="7030A0"/>
              <w:bottom w:val="single" w:sz="4" w:space="0" w:color="7030A0"/>
              <w:right w:val="single" w:sz="4" w:space="0" w:color="7030A0"/>
            </w:tcBorders>
            <w:shd w:val="clear" w:color="auto" w:fill="E5DFEC" w:themeFill="accent4" w:themeFillTint="33"/>
          </w:tcPr>
          <w:p w:rsidR="00A6136C" w:rsidRDefault="00A6136C" w:rsidP="00A6136C">
            <w:pPr>
              <w:rPr>
                <w:b/>
              </w:rPr>
            </w:pPr>
          </w:p>
          <w:p w:rsidR="00A6136C" w:rsidRDefault="00A6136C" w:rsidP="00A6136C">
            <w:pPr>
              <w:rPr>
                <w:b/>
              </w:rPr>
            </w:pPr>
            <w:r>
              <w:rPr>
                <w:b/>
              </w:rPr>
              <w:t>About this sheet</w:t>
            </w:r>
          </w:p>
          <w:p w:rsidR="00A6136C" w:rsidRDefault="00A6136C" w:rsidP="00A6136C">
            <w:pPr>
              <w:spacing w:before="240"/>
              <w:rPr>
                <w:i/>
              </w:rPr>
            </w:pPr>
            <w:r w:rsidRPr="00AA6976">
              <w:rPr>
                <w:i/>
              </w:rPr>
              <w:t xml:space="preserve">The Continuing Competence Free Update Sheet is designed to be used by purchasers of the Continuing Competence Revision Guides for the 2016-2018 period. </w:t>
            </w:r>
          </w:p>
          <w:p w:rsidR="00A6136C" w:rsidRPr="00AA6976" w:rsidRDefault="00A6136C" w:rsidP="00A6136C">
            <w:pPr>
              <w:rPr>
                <w:i/>
              </w:rPr>
            </w:pPr>
          </w:p>
          <w:p w:rsidR="00A6136C" w:rsidRPr="00AA6976" w:rsidRDefault="00A6136C" w:rsidP="00A6136C">
            <w:pPr>
              <w:rPr>
                <w:i/>
              </w:rPr>
            </w:pPr>
            <w:r w:rsidRPr="00AA6976">
              <w:rPr>
                <w:i/>
              </w:rPr>
              <w:t>It will highlight any changes in technical guidance and sources used as a basis for the Continuing Competence question bank to support the revision of users.</w:t>
            </w:r>
          </w:p>
          <w:p w:rsidR="00A6136C" w:rsidRDefault="00A6136C" w:rsidP="00A6136C">
            <w:pPr>
              <w:rPr>
                <w:i/>
              </w:rPr>
            </w:pPr>
          </w:p>
        </w:tc>
      </w:tr>
    </w:tbl>
    <w:p w:rsidR="00A6136C" w:rsidRDefault="00A6136C" w:rsidP="003F6D66">
      <w:pPr>
        <w:spacing w:after="0"/>
        <w:rPr>
          <w:b/>
        </w:rPr>
      </w:pPr>
    </w:p>
    <w:p w:rsidR="00A6136C" w:rsidRDefault="00A6136C" w:rsidP="00A6136C">
      <w:pPr>
        <w:rPr>
          <w:b/>
        </w:rPr>
      </w:pPr>
      <w:r>
        <w:rPr>
          <w:b/>
        </w:rPr>
        <w:t>Frequently Asked Questions (FAQs)</w:t>
      </w:r>
    </w:p>
    <w:p w:rsidR="00A6136C" w:rsidRPr="00F02619" w:rsidRDefault="00A6136C" w:rsidP="00A6136C">
      <w:pPr>
        <w:rPr>
          <w:i/>
          <w:color w:val="7030A0"/>
        </w:rPr>
      </w:pPr>
      <w:r w:rsidRPr="00F02619">
        <w:rPr>
          <w:i/>
          <w:color w:val="7030A0"/>
        </w:rPr>
        <w:t>How much does the test cost?</w:t>
      </w:r>
    </w:p>
    <w:p w:rsidR="00A6136C" w:rsidRDefault="00A6136C" w:rsidP="00A6136C">
      <w:r>
        <w:t xml:space="preserve">Each test costs </w:t>
      </w:r>
      <w:r w:rsidRPr="00964157">
        <w:rPr>
          <w:b/>
          <w:u w:val="single"/>
        </w:rPr>
        <w:t>£139</w:t>
      </w:r>
      <w:r>
        <w:t xml:space="preserve"> irrespective of the number of Activity Specific Tests chosen (a maximum of three activity specific tests can be taken at one time).</w:t>
      </w:r>
    </w:p>
    <w:p w:rsidR="00A6136C" w:rsidRPr="00F02619" w:rsidRDefault="00A6136C" w:rsidP="00A6136C">
      <w:pPr>
        <w:rPr>
          <w:i/>
          <w:color w:val="7030A0"/>
        </w:rPr>
      </w:pPr>
      <w:r w:rsidRPr="00F02619">
        <w:rPr>
          <w:i/>
          <w:color w:val="7030A0"/>
        </w:rPr>
        <w:t>What form of personal identification can I use at the test centre?</w:t>
      </w:r>
    </w:p>
    <w:p w:rsidR="00A6136C" w:rsidRDefault="00A6136C" w:rsidP="00A6136C">
      <w:pPr>
        <w:pStyle w:val="ListParagraph"/>
        <w:numPr>
          <w:ilvl w:val="0"/>
          <w:numId w:val="1"/>
        </w:numPr>
      </w:pPr>
      <w:r>
        <w:t>A valid signed passport of any country with your photograph and signature.</w:t>
      </w:r>
    </w:p>
    <w:p w:rsidR="00A6136C" w:rsidRDefault="00A6136C" w:rsidP="00A6136C">
      <w:pPr>
        <w:pStyle w:val="ListParagraph"/>
        <w:numPr>
          <w:ilvl w:val="0"/>
          <w:numId w:val="1"/>
        </w:numPr>
      </w:pPr>
      <w:r>
        <w:t>A valid signed UK photo card driving licence (full or provisional).</w:t>
      </w:r>
    </w:p>
    <w:p w:rsidR="00A6136C" w:rsidRPr="008A2290" w:rsidRDefault="00A6136C" w:rsidP="00A6136C">
      <w:pPr>
        <w:pStyle w:val="ListParagraph"/>
        <w:numPr>
          <w:ilvl w:val="0"/>
          <w:numId w:val="1"/>
        </w:numPr>
      </w:pPr>
      <w:r>
        <w:t>If you have none of these, you may present a Citizen’s ID Card.</w:t>
      </w:r>
      <w:r w:rsidR="00A352DD" w:rsidRPr="00A352DD">
        <w:rPr>
          <w:noProof/>
          <w:lang w:eastAsia="en-GB"/>
        </w:rPr>
        <w:t xml:space="preserve"> </w:t>
      </w:r>
    </w:p>
    <w:p w:rsidR="00A6136C" w:rsidRDefault="00A6136C" w:rsidP="00A6136C">
      <w:pPr>
        <w:rPr>
          <w:i/>
          <w:color w:val="7030A0"/>
        </w:rPr>
      </w:pPr>
      <w:r>
        <w:rPr>
          <w:i/>
          <w:color w:val="7030A0"/>
        </w:rPr>
        <w:t>How can I find out if I have passed the test?</w:t>
      </w:r>
    </w:p>
    <w:p w:rsidR="003F6D66" w:rsidRDefault="00A6136C" w:rsidP="00286918">
      <w:r>
        <w:t xml:space="preserve">At the end of the test you will receive your score report which provides the scores for each component of the Generic Knowledge Test and the score for each Activity Specific Test you have taken. </w:t>
      </w:r>
    </w:p>
    <w:p w:rsidR="00A6136C" w:rsidRPr="00AB5205" w:rsidRDefault="003F6D66" w:rsidP="00286918">
      <w:r>
        <w:t>T</w:t>
      </w:r>
      <w:r w:rsidR="00A6136C">
        <w:t xml:space="preserve">here is an example on the back of your score report showing how to work out if you’ve passed. Alternatively, you can go to </w:t>
      </w:r>
      <w:hyperlink r:id="rId66" w:history="1">
        <w:r w:rsidR="00A6136C" w:rsidRPr="00902207">
          <w:rPr>
            <w:rStyle w:val="Hyperlink"/>
          </w:rPr>
          <w:t>https://wamitab.org.uk/competence/continuing-competence/test-score-calculator/</w:t>
        </w:r>
      </w:hyperlink>
      <w:r w:rsidR="00A6136C">
        <w:t xml:space="preserve"> and type in your scores.</w:t>
      </w:r>
    </w:p>
    <w:sectPr w:rsidR="00A6136C" w:rsidRPr="00AB5205" w:rsidSect="00A674E5">
      <w:headerReference w:type="default" r:id="rId67"/>
      <w:footerReference w:type="default" r:id="rId68"/>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2EB" w:rsidRDefault="00D042EB" w:rsidP="00033393">
      <w:pPr>
        <w:spacing w:after="0" w:line="240" w:lineRule="auto"/>
      </w:pPr>
      <w:r>
        <w:separator/>
      </w:r>
    </w:p>
  </w:endnote>
  <w:endnote w:type="continuationSeparator" w:id="0">
    <w:p w:rsidR="00D042EB" w:rsidRDefault="00D042EB" w:rsidP="0003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770377"/>
      <w:docPartObj>
        <w:docPartGallery w:val="Page Numbers (Bottom of Page)"/>
        <w:docPartUnique/>
      </w:docPartObj>
    </w:sdtPr>
    <w:sdtEndPr/>
    <w:sdtContent>
      <w:sdt>
        <w:sdtPr>
          <w:id w:val="-1011378125"/>
          <w:docPartObj>
            <w:docPartGallery w:val="Page Numbers (Top of Page)"/>
            <w:docPartUnique/>
          </w:docPartObj>
        </w:sdtPr>
        <w:sdtEndPr/>
        <w:sdtContent>
          <w:p w:rsidR="00D042EB" w:rsidRDefault="00D042EB" w:rsidP="00FB3587">
            <w:pPr>
              <w:spacing w:after="0"/>
            </w:pPr>
            <w:r>
              <w:rPr>
                <w:noProof/>
                <w:lang w:eastAsia="en-GB"/>
              </w:rPr>
              <mc:AlternateContent>
                <mc:Choice Requires="wps">
                  <w:drawing>
                    <wp:anchor distT="0" distB="0" distL="114300" distR="114300" simplePos="0" relativeHeight="251661312" behindDoc="0" locked="0" layoutInCell="1" allowOverlap="1" wp14:anchorId="05CCF531" wp14:editId="22E6F952">
                      <wp:simplePos x="0" y="0"/>
                      <wp:positionH relativeFrom="column">
                        <wp:posOffset>-912495</wp:posOffset>
                      </wp:positionH>
                      <wp:positionV relativeFrom="paragraph">
                        <wp:posOffset>-271051</wp:posOffset>
                      </wp:positionV>
                      <wp:extent cx="7560310" cy="135890"/>
                      <wp:effectExtent l="0" t="0" r="21590" b="16510"/>
                      <wp:wrapNone/>
                      <wp:docPr id="2" name="Rectangle 2"/>
                      <wp:cNvGraphicFramePr/>
                      <a:graphic xmlns:a="http://schemas.openxmlformats.org/drawingml/2006/main">
                        <a:graphicData uri="http://schemas.microsoft.com/office/word/2010/wordprocessingShape">
                          <wps:wsp>
                            <wps:cNvSpPr/>
                            <wps:spPr>
                              <a:xfrm>
                                <a:off x="0" y="0"/>
                                <a:ext cx="7560310" cy="135890"/>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71.85pt;margin-top:-21.35pt;width:595.3pt;height:10.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" fillcolor="#7030a0" strokecolor="#7030a0" strokeweight="2pt"/>
                  </w:pict>
                </mc:Fallback>
              </mc:AlternateContent>
            </w:r>
            <w:r w:rsidRPr="00FB3587">
              <w:t xml:space="preserve"> </w:t>
            </w:r>
            <w:sdt>
              <w:sdtPr>
                <w:id w:val="106205202"/>
                <w:docPartObj>
                  <w:docPartGallery w:val="Page Numbers (Bottom of Page)"/>
                  <w:docPartUnique/>
                </w:docPartObj>
              </w:sdtPr>
              <w:sdtEndPr/>
              <w:sdtContent>
                <w:sdt>
                  <w:sdtPr>
                    <w:id w:val="565050523"/>
                    <w:docPartObj>
                      <w:docPartGallery w:val="Page Numbers (Top of Page)"/>
                      <w:docPartUnique/>
                    </w:docPartObj>
                  </w:sdtPr>
                  <w:sdtEndPr/>
                  <w:sdtContent>
                    <w:sdt>
                      <w:sdtPr>
                        <w:id w:val="18124399"/>
                        <w:docPartObj>
                          <w:docPartGallery w:val="Page Numbers (Top of Page)"/>
                          <w:docPartUnique/>
                        </w:docPartObj>
                      </w:sdtPr>
                      <w:sdtEndPr/>
                      <w:sdtContent>
                        <w:r>
                          <w:rPr>
                            <w:rFonts w:ascii="Calibri" w:hAnsi="Calibri"/>
                            <w:color w:val="000000"/>
                          </w:rPr>
                          <w:t>Copyright ©2019</w:t>
                        </w:r>
                        <w:r w:rsidRPr="00EE1BFB">
                          <w:rPr>
                            <w:rFonts w:ascii="Calibri" w:hAnsi="Calibri"/>
                            <w:color w:val="000000"/>
                          </w:rPr>
                          <w:t xml:space="preserve"> </w:t>
                        </w:r>
                        <w:r>
                          <w:rPr>
                            <w:rFonts w:ascii="Calibri" w:hAnsi="Calibri"/>
                            <w:color w:val="000000"/>
                          </w:rPr>
                          <w:t xml:space="preserve">WAMITAB                                                                                                   </w:t>
                        </w:r>
                        <w:r w:rsidRPr="00962130">
                          <w:t xml:space="preserve">Page </w:t>
                        </w:r>
                        <w:r w:rsidRPr="00962130">
                          <w:rPr>
                            <w:b/>
                          </w:rPr>
                          <w:fldChar w:fldCharType="begin"/>
                        </w:r>
                        <w:r w:rsidRPr="00962130">
                          <w:rPr>
                            <w:b/>
                          </w:rPr>
                          <w:instrText xml:space="preserve"> PAGE </w:instrText>
                        </w:r>
                        <w:r w:rsidRPr="00962130">
                          <w:rPr>
                            <w:b/>
                          </w:rPr>
                          <w:fldChar w:fldCharType="separate"/>
                        </w:r>
                        <w:r w:rsidR="00A960A7">
                          <w:rPr>
                            <w:b/>
                            <w:noProof/>
                          </w:rPr>
                          <w:t>5</w:t>
                        </w:r>
                        <w:r w:rsidRPr="00962130">
                          <w:rPr>
                            <w:b/>
                          </w:rPr>
                          <w:fldChar w:fldCharType="end"/>
                        </w:r>
                        <w:r w:rsidRPr="00962130">
                          <w:t xml:space="preserve"> of </w:t>
                        </w:r>
                        <w:r w:rsidRPr="00962130">
                          <w:rPr>
                            <w:b/>
                          </w:rPr>
                          <w:fldChar w:fldCharType="begin"/>
                        </w:r>
                        <w:r w:rsidRPr="00962130">
                          <w:rPr>
                            <w:b/>
                          </w:rPr>
                          <w:instrText xml:space="preserve"> NUMPAGES  </w:instrText>
                        </w:r>
                        <w:r w:rsidRPr="00962130">
                          <w:rPr>
                            <w:b/>
                          </w:rPr>
                          <w:fldChar w:fldCharType="separate"/>
                        </w:r>
                        <w:r w:rsidR="00A960A7">
                          <w:rPr>
                            <w:b/>
                            <w:noProof/>
                          </w:rPr>
                          <w:t>5</w:t>
                        </w:r>
                        <w:r w:rsidRPr="00962130">
                          <w:rPr>
                            <w:b/>
                          </w:rPr>
                          <w:fldChar w:fldCharType="end"/>
                        </w:r>
                      </w:sdtContent>
                    </w:sdt>
                  </w:sdtContent>
                </w:sdt>
              </w:sdtContent>
            </w:sdt>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2EB" w:rsidRDefault="00D042EB" w:rsidP="00033393">
      <w:pPr>
        <w:spacing w:after="0" w:line="240" w:lineRule="auto"/>
      </w:pPr>
      <w:r>
        <w:separator/>
      </w:r>
    </w:p>
  </w:footnote>
  <w:footnote w:type="continuationSeparator" w:id="0">
    <w:p w:rsidR="00D042EB" w:rsidRDefault="00D042EB" w:rsidP="00033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2EB" w:rsidRPr="00033393" w:rsidRDefault="00D042EB">
    <w:pPr>
      <w:pStyle w:val="Header"/>
      <w:rPr>
        <w:b/>
      </w:rPr>
    </w:pPr>
    <w:r w:rsidRPr="00033393">
      <w:rPr>
        <w:b/>
        <w:noProof/>
        <w:lang w:eastAsia="en-GB"/>
      </w:rPr>
      <mc:AlternateContent>
        <mc:Choice Requires="wps">
          <w:drawing>
            <wp:anchor distT="0" distB="0" distL="114300" distR="114300" simplePos="0" relativeHeight="251659264" behindDoc="0" locked="0" layoutInCell="1" allowOverlap="1" wp14:anchorId="7B6CF59D" wp14:editId="1E177AC1">
              <wp:simplePos x="0" y="0"/>
              <wp:positionH relativeFrom="column">
                <wp:posOffset>-914400</wp:posOffset>
              </wp:positionH>
              <wp:positionV relativeFrom="paragraph">
                <wp:posOffset>314695</wp:posOffset>
              </wp:positionV>
              <wp:extent cx="7560860" cy="136477"/>
              <wp:effectExtent l="0" t="0" r="21590" b="16510"/>
              <wp:wrapNone/>
              <wp:docPr id="1" name="Rectangle 1"/>
              <wp:cNvGraphicFramePr/>
              <a:graphic xmlns:a="http://schemas.openxmlformats.org/drawingml/2006/main">
                <a:graphicData uri="http://schemas.microsoft.com/office/word/2010/wordprocessingShape">
                  <wps:wsp>
                    <wps:cNvSpPr/>
                    <wps:spPr>
                      <a:xfrm>
                        <a:off x="0" y="0"/>
                        <a:ext cx="7560860" cy="136477"/>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in;margin-top:24.8pt;width:595.35pt;height:1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" fillcolor="#7030a0" strokecolor="#7030a0" strokeweight="2pt"/>
          </w:pict>
        </mc:Fallback>
      </mc:AlternateContent>
    </w:r>
    <w:r w:rsidRPr="00033393">
      <w:rPr>
        <w:b/>
      </w:rPr>
      <w:t>Continuing Competence</w:t>
    </w:r>
    <w:r w:rsidRPr="00033393">
      <w:rPr>
        <w:b/>
      </w:rPr>
      <w:ptab w:relativeTo="margin" w:alignment="center" w:leader="none"/>
    </w:r>
    <w:r w:rsidRPr="00033393">
      <w:rPr>
        <w:b/>
      </w:rPr>
      <w:t>Free Update Sheet</w:t>
    </w:r>
    <w:r w:rsidRPr="00033393">
      <w:rPr>
        <w:b/>
      </w:rPr>
      <w:ptab w:relativeTo="margin" w:alignment="right" w:leader="none"/>
    </w:r>
    <w:r w:rsidRPr="00033393">
      <w:rPr>
        <w:b/>
      </w:rPr>
      <w:t>Period 2019-2021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596"/>
    <w:multiLevelType w:val="hybridMultilevel"/>
    <w:tmpl w:val="8738F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952622"/>
    <w:multiLevelType w:val="hybridMultilevel"/>
    <w:tmpl w:val="52224EC4"/>
    <w:lvl w:ilvl="0" w:tplc="D5C44F3E">
      <w:numFmt w:val="bullet"/>
      <w:lvlText w:val="•"/>
      <w:lvlJc w:val="left"/>
      <w:pPr>
        <w:ind w:left="360" w:hanging="36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2B2A70"/>
    <w:multiLevelType w:val="hybridMultilevel"/>
    <w:tmpl w:val="6CFEA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154F83"/>
    <w:multiLevelType w:val="hybridMultilevel"/>
    <w:tmpl w:val="4330D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B707DC"/>
    <w:multiLevelType w:val="hybridMultilevel"/>
    <w:tmpl w:val="7744D4FA"/>
    <w:lvl w:ilvl="0" w:tplc="B308D31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A676F2"/>
    <w:multiLevelType w:val="hybridMultilevel"/>
    <w:tmpl w:val="E5B6F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AC350C"/>
    <w:multiLevelType w:val="hybridMultilevel"/>
    <w:tmpl w:val="79648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41E5B49"/>
    <w:multiLevelType w:val="hybridMultilevel"/>
    <w:tmpl w:val="95403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A315DFE"/>
    <w:multiLevelType w:val="hybridMultilevel"/>
    <w:tmpl w:val="5AB2E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B27364F"/>
    <w:multiLevelType w:val="hybridMultilevel"/>
    <w:tmpl w:val="845EA99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CA90B17"/>
    <w:multiLevelType w:val="hybridMultilevel"/>
    <w:tmpl w:val="24BE0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F8B17B5"/>
    <w:multiLevelType w:val="hybridMultilevel"/>
    <w:tmpl w:val="72B06D24"/>
    <w:lvl w:ilvl="0" w:tplc="B308D31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C2F11BB"/>
    <w:multiLevelType w:val="hybridMultilevel"/>
    <w:tmpl w:val="CD9EB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D900997"/>
    <w:multiLevelType w:val="hybridMultilevel"/>
    <w:tmpl w:val="205A7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EE33E35"/>
    <w:multiLevelType w:val="hybridMultilevel"/>
    <w:tmpl w:val="65FE4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0151563"/>
    <w:multiLevelType w:val="hybridMultilevel"/>
    <w:tmpl w:val="4E964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1005908"/>
    <w:multiLevelType w:val="hybridMultilevel"/>
    <w:tmpl w:val="B9C8B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13A00A1"/>
    <w:multiLevelType w:val="hybridMultilevel"/>
    <w:tmpl w:val="7FEAA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663776D"/>
    <w:multiLevelType w:val="hybridMultilevel"/>
    <w:tmpl w:val="D3249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A596AD8"/>
    <w:multiLevelType w:val="hybridMultilevel"/>
    <w:tmpl w:val="6AB61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645294C"/>
    <w:multiLevelType w:val="hybridMultilevel"/>
    <w:tmpl w:val="F4C83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70F67C3"/>
    <w:multiLevelType w:val="hybridMultilevel"/>
    <w:tmpl w:val="D6DC4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9D26DAC"/>
    <w:multiLevelType w:val="hybridMultilevel"/>
    <w:tmpl w:val="7C5EB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0734CE4"/>
    <w:multiLevelType w:val="hybridMultilevel"/>
    <w:tmpl w:val="04CAF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2E91A7A"/>
    <w:multiLevelType w:val="hybridMultilevel"/>
    <w:tmpl w:val="02E67D14"/>
    <w:lvl w:ilvl="0" w:tplc="1F182CD4">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34E388E"/>
    <w:multiLevelType w:val="hybridMultilevel"/>
    <w:tmpl w:val="B68A5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47E68E5"/>
    <w:multiLevelType w:val="hybridMultilevel"/>
    <w:tmpl w:val="8C7E6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D7537EE"/>
    <w:multiLevelType w:val="hybridMultilevel"/>
    <w:tmpl w:val="CBD40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E7B0B7B"/>
    <w:multiLevelType w:val="hybridMultilevel"/>
    <w:tmpl w:val="223A5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25"/>
  </w:num>
  <w:num w:numId="4">
    <w:abstractNumId w:val="16"/>
  </w:num>
  <w:num w:numId="5">
    <w:abstractNumId w:val="2"/>
  </w:num>
  <w:num w:numId="6">
    <w:abstractNumId w:val="12"/>
  </w:num>
  <w:num w:numId="7">
    <w:abstractNumId w:val="23"/>
  </w:num>
  <w:num w:numId="8">
    <w:abstractNumId w:val="7"/>
  </w:num>
  <w:num w:numId="9">
    <w:abstractNumId w:val="0"/>
  </w:num>
  <w:num w:numId="10">
    <w:abstractNumId w:val="3"/>
  </w:num>
  <w:num w:numId="11">
    <w:abstractNumId w:val="5"/>
  </w:num>
  <w:num w:numId="12">
    <w:abstractNumId w:val="4"/>
  </w:num>
  <w:num w:numId="13">
    <w:abstractNumId w:val="19"/>
  </w:num>
  <w:num w:numId="14">
    <w:abstractNumId w:val="18"/>
  </w:num>
  <w:num w:numId="15">
    <w:abstractNumId w:val="27"/>
  </w:num>
  <w:num w:numId="16">
    <w:abstractNumId w:val="11"/>
  </w:num>
  <w:num w:numId="17">
    <w:abstractNumId w:val="6"/>
  </w:num>
  <w:num w:numId="18">
    <w:abstractNumId w:val="26"/>
  </w:num>
  <w:num w:numId="19">
    <w:abstractNumId w:val="22"/>
  </w:num>
  <w:num w:numId="20">
    <w:abstractNumId w:val="15"/>
  </w:num>
  <w:num w:numId="21">
    <w:abstractNumId w:val="21"/>
  </w:num>
  <w:num w:numId="22">
    <w:abstractNumId w:val="20"/>
  </w:num>
  <w:num w:numId="23">
    <w:abstractNumId w:val="1"/>
  </w:num>
  <w:num w:numId="24">
    <w:abstractNumId w:val="14"/>
  </w:num>
  <w:num w:numId="25">
    <w:abstractNumId w:val="9"/>
  </w:num>
  <w:num w:numId="26">
    <w:abstractNumId w:val="28"/>
  </w:num>
  <w:num w:numId="27">
    <w:abstractNumId w:val="8"/>
  </w:num>
  <w:num w:numId="28">
    <w:abstractNumId w:val="2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CA7"/>
    <w:rsid w:val="000218C2"/>
    <w:rsid w:val="00024CAF"/>
    <w:rsid w:val="0002797C"/>
    <w:rsid w:val="00027EFC"/>
    <w:rsid w:val="00033393"/>
    <w:rsid w:val="0003473C"/>
    <w:rsid w:val="000725CE"/>
    <w:rsid w:val="000C3A3D"/>
    <w:rsid w:val="00125410"/>
    <w:rsid w:val="001415D1"/>
    <w:rsid w:val="00212E7A"/>
    <w:rsid w:val="00286918"/>
    <w:rsid w:val="00304442"/>
    <w:rsid w:val="00327D79"/>
    <w:rsid w:val="003321AB"/>
    <w:rsid w:val="00350ADC"/>
    <w:rsid w:val="003F6D66"/>
    <w:rsid w:val="0041598F"/>
    <w:rsid w:val="00416688"/>
    <w:rsid w:val="00440CA7"/>
    <w:rsid w:val="00472925"/>
    <w:rsid w:val="00473F7D"/>
    <w:rsid w:val="004A2037"/>
    <w:rsid w:val="005607D4"/>
    <w:rsid w:val="00612A28"/>
    <w:rsid w:val="00616296"/>
    <w:rsid w:val="0064016D"/>
    <w:rsid w:val="00690DB4"/>
    <w:rsid w:val="0069215B"/>
    <w:rsid w:val="006C64DC"/>
    <w:rsid w:val="006C7604"/>
    <w:rsid w:val="006E2249"/>
    <w:rsid w:val="007318DA"/>
    <w:rsid w:val="00755DB3"/>
    <w:rsid w:val="007961C5"/>
    <w:rsid w:val="007A593D"/>
    <w:rsid w:val="007C0E6F"/>
    <w:rsid w:val="007F566C"/>
    <w:rsid w:val="00872C89"/>
    <w:rsid w:val="008A2290"/>
    <w:rsid w:val="008B1233"/>
    <w:rsid w:val="00913AAA"/>
    <w:rsid w:val="00917404"/>
    <w:rsid w:val="009253D5"/>
    <w:rsid w:val="00964157"/>
    <w:rsid w:val="00972763"/>
    <w:rsid w:val="009B5506"/>
    <w:rsid w:val="009C4736"/>
    <w:rsid w:val="00A07706"/>
    <w:rsid w:val="00A352DD"/>
    <w:rsid w:val="00A57A1C"/>
    <w:rsid w:val="00A6136C"/>
    <w:rsid w:val="00A674E5"/>
    <w:rsid w:val="00A74AA7"/>
    <w:rsid w:val="00A960A7"/>
    <w:rsid w:val="00A97B72"/>
    <w:rsid w:val="00AA6976"/>
    <w:rsid w:val="00AB5205"/>
    <w:rsid w:val="00AE4804"/>
    <w:rsid w:val="00B15D2A"/>
    <w:rsid w:val="00B512E2"/>
    <w:rsid w:val="00BC7AE5"/>
    <w:rsid w:val="00BE5446"/>
    <w:rsid w:val="00C02BF3"/>
    <w:rsid w:val="00C04FFA"/>
    <w:rsid w:val="00C117E7"/>
    <w:rsid w:val="00C20806"/>
    <w:rsid w:val="00C234AC"/>
    <w:rsid w:val="00C4185B"/>
    <w:rsid w:val="00C746DD"/>
    <w:rsid w:val="00C90BCC"/>
    <w:rsid w:val="00D042EB"/>
    <w:rsid w:val="00D65368"/>
    <w:rsid w:val="00D772F7"/>
    <w:rsid w:val="00D90EA2"/>
    <w:rsid w:val="00D96F8B"/>
    <w:rsid w:val="00DA3996"/>
    <w:rsid w:val="00DB0056"/>
    <w:rsid w:val="00DD614B"/>
    <w:rsid w:val="00E166B9"/>
    <w:rsid w:val="00E317DB"/>
    <w:rsid w:val="00E57C78"/>
    <w:rsid w:val="00E7595A"/>
    <w:rsid w:val="00E961A5"/>
    <w:rsid w:val="00EA6C4F"/>
    <w:rsid w:val="00EE3C26"/>
    <w:rsid w:val="00F02619"/>
    <w:rsid w:val="00F029FD"/>
    <w:rsid w:val="00F150E3"/>
    <w:rsid w:val="00F3105A"/>
    <w:rsid w:val="00F9256E"/>
    <w:rsid w:val="00FA57A3"/>
    <w:rsid w:val="00FB3587"/>
    <w:rsid w:val="00FD3C07"/>
    <w:rsid w:val="00FF5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6918"/>
    <w:pPr>
      <w:keepNext/>
      <w:keepLines/>
      <w:spacing w:after="240"/>
      <w:outlineLvl w:val="1"/>
    </w:pPr>
    <w:rPr>
      <w:rFonts w:ascii="Calibri" w:eastAsia="Times New Roman" w:hAnsi="Calibri" w:cs="Times New Roman"/>
      <w:b/>
      <w:bCs/>
      <w:color w:val="8064A2" w:themeColor="accent4"/>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393"/>
  </w:style>
  <w:style w:type="paragraph" w:styleId="Footer">
    <w:name w:val="footer"/>
    <w:basedOn w:val="Normal"/>
    <w:link w:val="FooterChar"/>
    <w:uiPriority w:val="99"/>
    <w:unhideWhenUsed/>
    <w:rsid w:val="00033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393"/>
  </w:style>
  <w:style w:type="paragraph" w:styleId="BalloonText">
    <w:name w:val="Balloon Text"/>
    <w:basedOn w:val="Normal"/>
    <w:link w:val="BalloonTextChar"/>
    <w:uiPriority w:val="99"/>
    <w:semiHidden/>
    <w:unhideWhenUsed/>
    <w:rsid w:val="00033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93"/>
    <w:rPr>
      <w:rFonts w:ascii="Tahoma" w:hAnsi="Tahoma" w:cs="Tahoma"/>
      <w:sz w:val="16"/>
      <w:szCs w:val="16"/>
    </w:rPr>
  </w:style>
  <w:style w:type="table" w:styleId="TableGrid">
    <w:name w:val="Table Grid"/>
    <w:basedOn w:val="TableNormal"/>
    <w:uiPriority w:val="59"/>
    <w:rsid w:val="00BE5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2619"/>
    <w:pPr>
      <w:ind w:left="720"/>
      <w:contextualSpacing/>
    </w:pPr>
  </w:style>
  <w:style w:type="character" w:styleId="Hyperlink">
    <w:name w:val="Hyperlink"/>
    <w:basedOn w:val="DefaultParagraphFont"/>
    <w:uiPriority w:val="99"/>
    <w:unhideWhenUsed/>
    <w:rsid w:val="00F02619"/>
    <w:rPr>
      <w:color w:val="0000FF" w:themeColor="hyperlink"/>
      <w:u w:val="single"/>
    </w:rPr>
  </w:style>
  <w:style w:type="table" w:styleId="LightShading-Accent4">
    <w:name w:val="Light Shading Accent 4"/>
    <w:basedOn w:val="TableNormal"/>
    <w:uiPriority w:val="60"/>
    <w:rsid w:val="00C02BF3"/>
    <w:pPr>
      <w:spacing w:after="0" w:line="240" w:lineRule="auto"/>
    </w:pPr>
    <w:rPr>
      <w:rFonts w:eastAsiaTheme="minorEastAsia"/>
      <w:color w:val="5F497A" w:themeColor="accent4" w:themeShade="BF"/>
      <w:lang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2Char">
    <w:name w:val="Heading 2 Char"/>
    <w:basedOn w:val="DefaultParagraphFont"/>
    <w:link w:val="Heading2"/>
    <w:uiPriority w:val="9"/>
    <w:rsid w:val="00286918"/>
    <w:rPr>
      <w:rFonts w:ascii="Calibri" w:eastAsia="Times New Roman" w:hAnsi="Calibri" w:cs="Times New Roman"/>
      <w:b/>
      <w:bCs/>
      <w:color w:val="8064A2" w:themeColor="accent4"/>
      <w:sz w:val="26"/>
      <w:szCs w:val="26"/>
      <w:lang w:eastAsia="en-GB"/>
    </w:rPr>
  </w:style>
  <w:style w:type="paragraph" w:customStyle="1" w:styleId="Quick">
    <w:name w:val="Quick ­"/>
    <w:basedOn w:val="Normal"/>
    <w:rsid w:val="009253D5"/>
    <w:pPr>
      <w:widowControl w:val="0"/>
      <w:spacing w:after="0" w:line="240" w:lineRule="auto"/>
      <w:ind w:left="720" w:hanging="720"/>
    </w:pPr>
    <w:rPr>
      <w:rFonts w:ascii="CG Times" w:eastAsia="Times New Roman" w:hAnsi="CG Times" w:cs="Times New Roman"/>
      <w:snapToGrid w:val="0"/>
      <w:sz w:val="24"/>
      <w:szCs w:val="20"/>
      <w:lang w:val="en-US"/>
    </w:rPr>
  </w:style>
  <w:style w:type="character" w:styleId="CommentReference">
    <w:name w:val="annotation reference"/>
    <w:basedOn w:val="DefaultParagraphFont"/>
    <w:uiPriority w:val="99"/>
    <w:semiHidden/>
    <w:unhideWhenUsed/>
    <w:rsid w:val="00690DB4"/>
    <w:rPr>
      <w:sz w:val="16"/>
      <w:szCs w:val="16"/>
    </w:rPr>
  </w:style>
  <w:style w:type="paragraph" w:styleId="CommentText">
    <w:name w:val="annotation text"/>
    <w:basedOn w:val="Normal"/>
    <w:link w:val="CommentTextChar"/>
    <w:uiPriority w:val="99"/>
    <w:semiHidden/>
    <w:unhideWhenUsed/>
    <w:rsid w:val="00690DB4"/>
    <w:pPr>
      <w:spacing w:line="240" w:lineRule="auto"/>
    </w:pPr>
    <w:rPr>
      <w:sz w:val="20"/>
      <w:szCs w:val="20"/>
    </w:rPr>
  </w:style>
  <w:style w:type="character" w:customStyle="1" w:styleId="CommentTextChar">
    <w:name w:val="Comment Text Char"/>
    <w:basedOn w:val="DefaultParagraphFont"/>
    <w:link w:val="CommentText"/>
    <w:uiPriority w:val="99"/>
    <w:semiHidden/>
    <w:rsid w:val="00690DB4"/>
    <w:rPr>
      <w:sz w:val="20"/>
      <w:szCs w:val="20"/>
    </w:rPr>
  </w:style>
  <w:style w:type="paragraph" w:styleId="CommentSubject">
    <w:name w:val="annotation subject"/>
    <w:basedOn w:val="CommentText"/>
    <w:next w:val="CommentText"/>
    <w:link w:val="CommentSubjectChar"/>
    <w:uiPriority w:val="99"/>
    <w:semiHidden/>
    <w:unhideWhenUsed/>
    <w:rsid w:val="00690DB4"/>
    <w:rPr>
      <w:b/>
      <w:bCs/>
    </w:rPr>
  </w:style>
  <w:style w:type="character" w:customStyle="1" w:styleId="CommentSubjectChar">
    <w:name w:val="Comment Subject Char"/>
    <w:basedOn w:val="CommentTextChar"/>
    <w:link w:val="CommentSubject"/>
    <w:uiPriority w:val="99"/>
    <w:semiHidden/>
    <w:rsid w:val="00690DB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6918"/>
    <w:pPr>
      <w:keepNext/>
      <w:keepLines/>
      <w:spacing w:after="240"/>
      <w:outlineLvl w:val="1"/>
    </w:pPr>
    <w:rPr>
      <w:rFonts w:ascii="Calibri" w:eastAsia="Times New Roman" w:hAnsi="Calibri" w:cs="Times New Roman"/>
      <w:b/>
      <w:bCs/>
      <w:color w:val="8064A2" w:themeColor="accent4"/>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393"/>
  </w:style>
  <w:style w:type="paragraph" w:styleId="Footer">
    <w:name w:val="footer"/>
    <w:basedOn w:val="Normal"/>
    <w:link w:val="FooterChar"/>
    <w:uiPriority w:val="99"/>
    <w:unhideWhenUsed/>
    <w:rsid w:val="00033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393"/>
  </w:style>
  <w:style w:type="paragraph" w:styleId="BalloonText">
    <w:name w:val="Balloon Text"/>
    <w:basedOn w:val="Normal"/>
    <w:link w:val="BalloonTextChar"/>
    <w:uiPriority w:val="99"/>
    <w:semiHidden/>
    <w:unhideWhenUsed/>
    <w:rsid w:val="00033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93"/>
    <w:rPr>
      <w:rFonts w:ascii="Tahoma" w:hAnsi="Tahoma" w:cs="Tahoma"/>
      <w:sz w:val="16"/>
      <w:szCs w:val="16"/>
    </w:rPr>
  </w:style>
  <w:style w:type="table" w:styleId="TableGrid">
    <w:name w:val="Table Grid"/>
    <w:basedOn w:val="TableNormal"/>
    <w:uiPriority w:val="59"/>
    <w:rsid w:val="00BE5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2619"/>
    <w:pPr>
      <w:ind w:left="720"/>
      <w:contextualSpacing/>
    </w:pPr>
  </w:style>
  <w:style w:type="character" w:styleId="Hyperlink">
    <w:name w:val="Hyperlink"/>
    <w:basedOn w:val="DefaultParagraphFont"/>
    <w:uiPriority w:val="99"/>
    <w:unhideWhenUsed/>
    <w:rsid w:val="00F02619"/>
    <w:rPr>
      <w:color w:val="0000FF" w:themeColor="hyperlink"/>
      <w:u w:val="single"/>
    </w:rPr>
  </w:style>
  <w:style w:type="table" w:styleId="LightShading-Accent4">
    <w:name w:val="Light Shading Accent 4"/>
    <w:basedOn w:val="TableNormal"/>
    <w:uiPriority w:val="60"/>
    <w:rsid w:val="00C02BF3"/>
    <w:pPr>
      <w:spacing w:after="0" w:line="240" w:lineRule="auto"/>
    </w:pPr>
    <w:rPr>
      <w:rFonts w:eastAsiaTheme="minorEastAsia"/>
      <w:color w:val="5F497A" w:themeColor="accent4" w:themeShade="BF"/>
      <w:lang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2Char">
    <w:name w:val="Heading 2 Char"/>
    <w:basedOn w:val="DefaultParagraphFont"/>
    <w:link w:val="Heading2"/>
    <w:uiPriority w:val="9"/>
    <w:rsid w:val="00286918"/>
    <w:rPr>
      <w:rFonts w:ascii="Calibri" w:eastAsia="Times New Roman" w:hAnsi="Calibri" w:cs="Times New Roman"/>
      <w:b/>
      <w:bCs/>
      <w:color w:val="8064A2" w:themeColor="accent4"/>
      <w:sz w:val="26"/>
      <w:szCs w:val="26"/>
      <w:lang w:eastAsia="en-GB"/>
    </w:rPr>
  </w:style>
  <w:style w:type="paragraph" w:customStyle="1" w:styleId="Quick">
    <w:name w:val="Quick ­"/>
    <w:basedOn w:val="Normal"/>
    <w:rsid w:val="009253D5"/>
    <w:pPr>
      <w:widowControl w:val="0"/>
      <w:spacing w:after="0" w:line="240" w:lineRule="auto"/>
      <w:ind w:left="720" w:hanging="720"/>
    </w:pPr>
    <w:rPr>
      <w:rFonts w:ascii="CG Times" w:eastAsia="Times New Roman" w:hAnsi="CG Times" w:cs="Times New Roman"/>
      <w:snapToGrid w:val="0"/>
      <w:sz w:val="24"/>
      <w:szCs w:val="20"/>
      <w:lang w:val="en-US"/>
    </w:rPr>
  </w:style>
  <w:style w:type="character" w:styleId="CommentReference">
    <w:name w:val="annotation reference"/>
    <w:basedOn w:val="DefaultParagraphFont"/>
    <w:uiPriority w:val="99"/>
    <w:semiHidden/>
    <w:unhideWhenUsed/>
    <w:rsid w:val="00690DB4"/>
    <w:rPr>
      <w:sz w:val="16"/>
      <w:szCs w:val="16"/>
    </w:rPr>
  </w:style>
  <w:style w:type="paragraph" w:styleId="CommentText">
    <w:name w:val="annotation text"/>
    <w:basedOn w:val="Normal"/>
    <w:link w:val="CommentTextChar"/>
    <w:uiPriority w:val="99"/>
    <w:semiHidden/>
    <w:unhideWhenUsed/>
    <w:rsid w:val="00690DB4"/>
    <w:pPr>
      <w:spacing w:line="240" w:lineRule="auto"/>
    </w:pPr>
    <w:rPr>
      <w:sz w:val="20"/>
      <w:szCs w:val="20"/>
    </w:rPr>
  </w:style>
  <w:style w:type="character" w:customStyle="1" w:styleId="CommentTextChar">
    <w:name w:val="Comment Text Char"/>
    <w:basedOn w:val="DefaultParagraphFont"/>
    <w:link w:val="CommentText"/>
    <w:uiPriority w:val="99"/>
    <w:semiHidden/>
    <w:rsid w:val="00690DB4"/>
    <w:rPr>
      <w:sz w:val="20"/>
      <w:szCs w:val="20"/>
    </w:rPr>
  </w:style>
  <w:style w:type="paragraph" w:styleId="CommentSubject">
    <w:name w:val="annotation subject"/>
    <w:basedOn w:val="CommentText"/>
    <w:next w:val="CommentText"/>
    <w:link w:val="CommentSubjectChar"/>
    <w:uiPriority w:val="99"/>
    <w:semiHidden/>
    <w:unhideWhenUsed/>
    <w:rsid w:val="00690DB4"/>
    <w:rPr>
      <w:b/>
      <w:bCs/>
    </w:rPr>
  </w:style>
  <w:style w:type="character" w:customStyle="1" w:styleId="CommentSubjectChar">
    <w:name w:val="Comment Subject Char"/>
    <w:basedOn w:val="CommentTextChar"/>
    <w:link w:val="CommentSubject"/>
    <w:uiPriority w:val="99"/>
    <w:semiHidden/>
    <w:rsid w:val="00690D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83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www.claire.co.uk/index.php?option=com_content&amp;view=category&amp;layout=blog&amp;id=977&amp;Itemid=330" TargetMode="External"/><Relationship Id="rId39" Type="http://schemas.openxmlformats.org/officeDocument/2006/relationships/hyperlink" Target="http://www.wamitab.org.uk/.../files/.../remediation_position_statements.pdf" TargetMode="External"/><Relationship Id="rId21" Type="http://schemas.openxmlformats.org/officeDocument/2006/relationships/diagramQuickStyle" Target="diagrams/quickStyle3.xml"/><Relationship Id="rId34" Type="http://schemas.openxmlformats.org/officeDocument/2006/relationships/hyperlink" Target="https://www.gov.uk/government/uploads/system/uploads/attachment_data/file/496261/withdrawn_How_to_comply_-_LIT_7123.pdf" TargetMode="External"/><Relationship Id="rId42" Type="http://schemas.openxmlformats.org/officeDocument/2006/relationships/hyperlink" Target="https://assets.publishing.service.gov.uk/government/uploads/system/uploads/attachment_data/file/759083/waste-code-practice-2018.pdf" TargetMode="External"/><Relationship Id="rId47" Type="http://schemas.openxmlformats.org/officeDocument/2006/relationships/hyperlink" Target="http://www.environment-agency.gov.uk/research/commercial/32884.aspx" TargetMode="External"/><Relationship Id="rId50" Type="http://schemas.openxmlformats.org/officeDocument/2006/relationships/hyperlink" Target="https://www.gov.uk/government/uploads/system/uploads/attachment_data/file/427077/LIT_10121.pdf" TargetMode="External"/><Relationship Id="rId55" Type="http://schemas.openxmlformats.org/officeDocument/2006/relationships/hyperlink" Target="https://www.gov.uk/government/uploads/system/uploads/attachment_data/file/296737/geho0411btqm-e-e.pdf" TargetMode="External"/><Relationship Id="rId63" Type="http://schemas.openxmlformats.org/officeDocument/2006/relationships/hyperlink" Target="https://www.gov.uk/guidance/waste-exemptions-using-waste" TargetMode="External"/><Relationship Id="rId68"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hyperlink" Target="https://www.gov.uk/government/uploads/system/uploads/attachment_data/file/484292/LIT_695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s://www.gov.uk/guidance/land-contamination-risk-management" TargetMode="External"/><Relationship Id="rId32" Type="http://schemas.openxmlformats.org/officeDocument/2006/relationships/hyperlink" Target="https://www.gov.uk/government/publications/deployment-form-for-land-and-groundwater-remediation" TargetMode="External"/><Relationship Id="rId37" Type="http://schemas.openxmlformats.org/officeDocument/2006/relationships/hyperlink" Target="https://www.gov.uk/guidance/waste-environmental-permits" TargetMode="External"/><Relationship Id="rId40" Type="http://schemas.openxmlformats.org/officeDocument/2006/relationships/hyperlink" Target="https://www.gov.uk/guidance/water-management-abstract-or-impound-water" TargetMode="External"/><Relationship Id="rId45" Type="http://schemas.openxmlformats.org/officeDocument/2006/relationships/hyperlink" Target="https://www.gov.uk/government/uploads/system/uploads/attachment_data/file/296422/geho1110btew-e-e.pdf" TargetMode="External"/><Relationship Id="rId53" Type="http://schemas.openxmlformats.org/officeDocument/2006/relationships/hyperlink" Target="https://naturalresources.wales/media/2110/how-to-comply-with-your-environmental-permit.pdf" TargetMode="External"/><Relationship Id="rId58" Type="http://schemas.openxmlformats.org/officeDocument/2006/relationships/hyperlink" Target="https://naturalresources.wales/permits-and-permissions/water-discharges/discharges-to-surface-water-and-groundwater/?lang=en" TargetMode="External"/><Relationship Id="rId66" Type="http://schemas.openxmlformats.org/officeDocument/2006/relationships/hyperlink" Target="https://wamitab.org.uk/competence/continuing-competence/test-score-calculator/" TargetMode="Externa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hyperlink" Target="https://www.gov.uk/government/uploads/system/uploads/attachment_data/file/223705/pb13735cont-land-guidance.pdf" TargetMode="External"/><Relationship Id="rId36" Type="http://schemas.openxmlformats.org/officeDocument/2006/relationships/hyperlink" Target="https://www.gov.uk/guidance/control-and-monitor-emissions-for-your-environmental-permit" TargetMode="External"/><Relationship Id="rId49" Type="http://schemas.openxmlformats.org/officeDocument/2006/relationships/hyperlink" Target="https://assets.publishing.service.gov.uk/government/uploads/system/uploads/attachment_data/file/769368/LIT_8219.pdf" TargetMode="External"/><Relationship Id="rId57" Type="http://schemas.openxmlformats.org/officeDocument/2006/relationships/hyperlink" Target="https://www.gov.uk/government/publications/temporary-dewatering-from-excavations-to-surface-water/temporary-dewatering-from-excavations-to-surface-water" TargetMode="External"/><Relationship Id="rId61" Type="http://schemas.openxmlformats.org/officeDocument/2006/relationships/hyperlink" Target="https://secure.fera.defra.gov.uk/nonnativespecies/downloadDocument.cfm?id=369" TargetMode="Externa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hyperlink" Target="https://naturalresources.wales/permits-and-permissions/waste/waste-permits/apply-for-a-new-standard-permit-for-waste-operations/?lang=en" TargetMode="External"/><Relationship Id="rId44" Type="http://schemas.openxmlformats.org/officeDocument/2006/relationships/hyperlink" Target="https://naturalresources.wales/permits-and-permissions/waste/register-as-a-waste-carrier-broker-or-dealer/?lang=en" TargetMode="External"/><Relationship Id="rId52" Type="http://schemas.openxmlformats.org/officeDocument/2006/relationships/hyperlink" Target="https://www.claire.co.uk/projects-and-initiatives/asbestos-in-soil" TargetMode="External"/><Relationship Id="rId60" Type="http://schemas.openxmlformats.org/officeDocument/2006/relationships/hyperlink" Target="https://www.gov.uk/guidance/prevent-japanese-knotweed-from-spreading" TargetMode="External"/><Relationship Id="rId65" Type="http://schemas.openxmlformats.org/officeDocument/2006/relationships/hyperlink" Target="https://www.claire.co.uk/projects-and-initiatives/dow-cop"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hyperlink" Target="https://webarchive.nationalarchives.gov.uk/20071109120000/http:/www.environment-agency.gov.uk/commondata/acrobat/dowv10506_1386151.pdf" TargetMode="External"/><Relationship Id="rId30" Type="http://schemas.openxmlformats.org/officeDocument/2006/relationships/hyperlink" Target="https://naturalresources.wales/permits-and-permissions/waste/waste-permits/apply-for-a-new-standard-permit-for-waste-operations/?lang=en" TargetMode="External"/><Relationship Id="rId35" Type="http://schemas.openxmlformats.org/officeDocument/2006/relationships/hyperlink" Target="https://www.gov.uk/government/uploads/system/uploads/attachment_data/file/485213/pmho0811bucr-e-e.pdf" TargetMode="External"/><Relationship Id="rId43" Type="http://schemas.openxmlformats.org/officeDocument/2006/relationships/hyperlink" Target="https://www.gov.uk/managing-your-waste-an-overview" TargetMode="External"/><Relationship Id="rId48" Type="http://schemas.openxmlformats.org/officeDocument/2006/relationships/hyperlink" Target="https://www.gov.uk/government/collections/land-contamination-technical-guidance" TargetMode="External"/><Relationship Id="rId56" Type="http://schemas.openxmlformats.org/officeDocument/2006/relationships/hyperlink" Target="https://www.gov.uk/government/uploads/system/uploads/attachment_data/file/298126/LIT_8291_337647.pdf" TargetMode="External"/><Relationship Id="rId64" Type="http://schemas.openxmlformats.org/officeDocument/2006/relationships/hyperlink" Target="https://www.gov.uk/guidance/turn-your-waste-into-a-new-non-waste-product-or-material"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gov.uk/guidance/dispose-of-waste-containing-persistent-organic-pollutants-pops" TargetMode="Externa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s://www.gov.uk/guidance/land-contamination-risk-management" TargetMode="External"/><Relationship Id="rId33" Type="http://schemas.openxmlformats.org/officeDocument/2006/relationships/hyperlink" Target="https://naturalresources.wales/permits-and-permissions/waste/waste-permits/mobile-plant-permitting/?lang=en" TargetMode="External"/><Relationship Id="rId38" Type="http://schemas.openxmlformats.org/officeDocument/2006/relationships/hyperlink" Target="https://naturalresources.wales/permits-and-permissions/waste/waste-permits/do-you-need-to-apply-for-a-permit-or-register-an-exemption/?lang=en" TargetMode="External"/><Relationship Id="rId46" Type="http://schemas.openxmlformats.org/officeDocument/2006/relationships/hyperlink" Target="https://eur-lex.europa.eu/LexUriServ/LexUriServ.do?uri=OJ:L:2003:011:0027:0049:EN:PDF" TargetMode="External"/><Relationship Id="rId59" Type="http://schemas.openxmlformats.org/officeDocument/2006/relationships/hyperlink" Target="https://www.gov.uk/guidance/prevent-the-spread-of-harmful-invasive-and-non-native-plants" TargetMode="External"/><Relationship Id="rId67" Type="http://schemas.openxmlformats.org/officeDocument/2006/relationships/header" Target="header1.xml"/><Relationship Id="rId20" Type="http://schemas.openxmlformats.org/officeDocument/2006/relationships/diagramLayout" Target="diagrams/layout3.xml"/><Relationship Id="rId41" Type="http://schemas.openxmlformats.org/officeDocument/2006/relationships/hyperlink" Target="https://naturalresources.wales/permits-and-permissions/water-abstraction-and-impoundment/information-about-water-abstraction-or-impoundment-licensing/?lang=en" TargetMode="External"/><Relationship Id="rId54" Type="http://schemas.openxmlformats.org/officeDocument/2006/relationships/hyperlink" Target="https://www.gov.uk/guidance/control-and-monitor-emissions-for-your-environmental-permit" TargetMode="External"/><Relationship Id="rId62" Type="http://schemas.openxmlformats.org/officeDocument/2006/relationships/hyperlink" Target="https://assets.publishing.service.gov.uk/government/uploads/system/uploads/attachment_data/file/571565/LIT_6920.pdf" TargetMode="External"/><Relationship Id="rId7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697604-C478-4F1E-8F6D-B3BEDA9CB7D3}" type="doc">
      <dgm:prSet loTypeId="urn:microsoft.com/office/officeart/2005/8/layout/hierarchy4" loCatId="hierarchy" qsTypeId="urn:microsoft.com/office/officeart/2005/8/quickstyle/simple1" qsCatId="simple" csTypeId="urn:microsoft.com/office/officeart/2005/8/colors/colorful1" csCatId="colorful" phldr="1"/>
      <dgm:spPr/>
      <dgm:t>
        <a:bodyPr/>
        <a:lstStyle/>
        <a:p>
          <a:endParaRPr lang="en-GB"/>
        </a:p>
      </dgm:t>
    </dgm:pt>
    <dgm:pt modelId="{B9C81330-5E96-4E38-AC40-9E5A2535BB5E}">
      <dgm:prSet phldrT="[Text]"/>
      <dgm:spPr/>
      <dgm:t>
        <a:bodyPr/>
        <a:lstStyle/>
        <a:p>
          <a:r>
            <a:rPr lang="en-GB"/>
            <a:t>Pollutant Linkage</a:t>
          </a:r>
        </a:p>
      </dgm:t>
    </dgm:pt>
    <dgm:pt modelId="{EE820B9A-3A3B-480F-A69F-5818B01AA575}" type="parTrans" cxnId="{293BFDEA-7992-4870-81B0-9F08B44E6077}">
      <dgm:prSet/>
      <dgm:spPr/>
      <dgm:t>
        <a:bodyPr/>
        <a:lstStyle/>
        <a:p>
          <a:endParaRPr lang="en-GB"/>
        </a:p>
      </dgm:t>
    </dgm:pt>
    <dgm:pt modelId="{09D41AF4-1852-45D1-A1BF-6C726FF635C6}" type="sibTrans" cxnId="{293BFDEA-7992-4870-81B0-9F08B44E6077}">
      <dgm:prSet/>
      <dgm:spPr/>
      <dgm:t>
        <a:bodyPr/>
        <a:lstStyle/>
        <a:p>
          <a:endParaRPr lang="en-GB"/>
        </a:p>
      </dgm:t>
    </dgm:pt>
    <dgm:pt modelId="{973C2183-0EC8-4B4A-B0A9-5568B85CF3E1}">
      <dgm:prSet phldrT="[Text]"/>
      <dgm:spPr/>
      <dgm:t>
        <a:bodyPr/>
        <a:lstStyle/>
        <a:p>
          <a:r>
            <a:rPr lang="en-GB" b="1"/>
            <a:t>Contaminant</a:t>
          </a:r>
          <a:r>
            <a:rPr lang="en-GB"/>
            <a:t> - a substance with the potential to cause harm or pollution</a:t>
          </a:r>
        </a:p>
      </dgm:t>
    </dgm:pt>
    <dgm:pt modelId="{9DEC4223-7F77-4316-824E-DC0E4BBBF5C5}" type="parTrans" cxnId="{778E56C7-6F51-4BA8-87B7-E812103EFE18}">
      <dgm:prSet/>
      <dgm:spPr/>
      <dgm:t>
        <a:bodyPr/>
        <a:lstStyle/>
        <a:p>
          <a:endParaRPr lang="en-GB"/>
        </a:p>
      </dgm:t>
    </dgm:pt>
    <dgm:pt modelId="{EB204A8D-D925-431B-910A-E19DE7A0E349}" type="sibTrans" cxnId="{778E56C7-6F51-4BA8-87B7-E812103EFE18}">
      <dgm:prSet/>
      <dgm:spPr/>
      <dgm:t>
        <a:bodyPr/>
        <a:lstStyle/>
        <a:p>
          <a:endParaRPr lang="en-GB"/>
        </a:p>
      </dgm:t>
    </dgm:pt>
    <dgm:pt modelId="{7A231803-E0F5-4D13-8F06-6311A938E020}">
      <dgm:prSet phldrT="[Text]"/>
      <dgm:spPr/>
      <dgm:t>
        <a:bodyPr/>
        <a:lstStyle/>
        <a:p>
          <a:r>
            <a:rPr lang="en-GB" b="1"/>
            <a:t>Receptor</a:t>
          </a:r>
          <a:r>
            <a:rPr lang="en-GB"/>
            <a:t> - something that could be adversely harmed by a contaminant</a:t>
          </a:r>
        </a:p>
      </dgm:t>
    </dgm:pt>
    <dgm:pt modelId="{ADD9EC11-710D-423D-B141-72E5A4E00C78}" type="parTrans" cxnId="{96816D25-D095-4A56-8E49-69FA0EF8354A}">
      <dgm:prSet/>
      <dgm:spPr/>
      <dgm:t>
        <a:bodyPr/>
        <a:lstStyle/>
        <a:p>
          <a:endParaRPr lang="en-GB"/>
        </a:p>
      </dgm:t>
    </dgm:pt>
    <dgm:pt modelId="{8140D8DC-4C5A-42BA-B119-2A0A47864A42}" type="sibTrans" cxnId="{96816D25-D095-4A56-8E49-69FA0EF8354A}">
      <dgm:prSet/>
      <dgm:spPr/>
      <dgm:t>
        <a:bodyPr/>
        <a:lstStyle/>
        <a:p>
          <a:endParaRPr lang="en-GB"/>
        </a:p>
      </dgm:t>
    </dgm:pt>
    <dgm:pt modelId="{4BBF351A-A50C-45D7-926B-B6C485419C41}">
      <dgm:prSet phldrT="[Text]"/>
      <dgm:spPr/>
      <dgm:t>
        <a:bodyPr/>
        <a:lstStyle/>
        <a:p>
          <a:r>
            <a:rPr lang="en-GB" b="1"/>
            <a:t>Pathway</a:t>
          </a:r>
          <a:r>
            <a:rPr lang="en-GB"/>
            <a:t> - a route or means by which a receptor could be adversely affected by a contaminant.</a:t>
          </a:r>
        </a:p>
      </dgm:t>
    </dgm:pt>
    <dgm:pt modelId="{00344AC7-DC5F-475D-9CFA-8AD097FD85D2}" type="parTrans" cxnId="{139A2150-D94F-47E3-A7D8-CE1D752C7BDD}">
      <dgm:prSet/>
      <dgm:spPr/>
      <dgm:t>
        <a:bodyPr/>
        <a:lstStyle/>
        <a:p>
          <a:endParaRPr lang="en-GB"/>
        </a:p>
      </dgm:t>
    </dgm:pt>
    <dgm:pt modelId="{FF757081-4985-47D4-9CB5-8FA6EA628B03}" type="sibTrans" cxnId="{139A2150-D94F-47E3-A7D8-CE1D752C7BDD}">
      <dgm:prSet/>
      <dgm:spPr/>
      <dgm:t>
        <a:bodyPr/>
        <a:lstStyle/>
        <a:p>
          <a:endParaRPr lang="en-GB"/>
        </a:p>
      </dgm:t>
    </dgm:pt>
    <dgm:pt modelId="{D4809ED6-FE51-40CE-A0B1-B9D3E5C73738}" type="pres">
      <dgm:prSet presAssocID="{AA697604-C478-4F1E-8F6D-B3BEDA9CB7D3}" presName="Name0" presStyleCnt="0">
        <dgm:presLayoutVars>
          <dgm:chPref val="1"/>
          <dgm:dir/>
          <dgm:animOne val="branch"/>
          <dgm:animLvl val="lvl"/>
          <dgm:resizeHandles/>
        </dgm:presLayoutVars>
      </dgm:prSet>
      <dgm:spPr/>
      <dgm:t>
        <a:bodyPr/>
        <a:lstStyle/>
        <a:p>
          <a:endParaRPr lang="en-GB"/>
        </a:p>
      </dgm:t>
    </dgm:pt>
    <dgm:pt modelId="{C5B861C7-C994-4A72-8A69-866ADF82C84E}" type="pres">
      <dgm:prSet presAssocID="{B9C81330-5E96-4E38-AC40-9E5A2535BB5E}" presName="vertOne" presStyleCnt="0"/>
      <dgm:spPr/>
    </dgm:pt>
    <dgm:pt modelId="{71A524EF-CF2A-4389-9E6D-38C4BF488BEB}" type="pres">
      <dgm:prSet presAssocID="{B9C81330-5E96-4E38-AC40-9E5A2535BB5E}" presName="txOne" presStyleLbl="node0" presStyleIdx="0" presStyleCnt="1" custScaleY="39174">
        <dgm:presLayoutVars>
          <dgm:chPref val="3"/>
        </dgm:presLayoutVars>
      </dgm:prSet>
      <dgm:spPr/>
      <dgm:t>
        <a:bodyPr/>
        <a:lstStyle/>
        <a:p>
          <a:endParaRPr lang="en-GB"/>
        </a:p>
      </dgm:t>
    </dgm:pt>
    <dgm:pt modelId="{E44F8DC6-8329-4BC6-91F2-1B133AB56689}" type="pres">
      <dgm:prSet presAssocID="{B9C81330-5E96-4E38-AC40-9E5A2535BB5E}" presName="parTransOne" presStyleCnt="0"/>
      <dgm:spPr/>
    </dgm:pt>
    <dgm:pt modelId="{72AFDCA6-06CB-4CE0-9D3B-9FB69A93F481}" type="pres">
      <dgm:prSet presAssocID="{B9C81330-5E96-4E38-AC40-9E5A2535BB5E}" presName="horzOne" presStyleCnt="0"/>
      <dgm:spPr/>
    </dgm:pt>
    <dgm:pt modelId="{3F2111BC-A77B-42ED-9F50-2E1A0560D9F1}" type="pres">
      <dgm:prSet presAssocID="{973C2183-0EC8-4B4A-B0A9-5568B85CF3E1}" presName="vertTwo" presStyleCnt="0"/>
      <dgm:spPr/>
    </dgm:pt>
    <dgm:pt modelId="{EE169B56-A644-4B09-ACC7-936DDC0A91E6}" type="pres">
      <dgm:prSet presAssocID="{973C2183-0EC8-4B4A-B0A9-5568B85CF3E1}" presName="txTwo" presStyleLbl="node2" presStyleIdx="0" presStyleCnt="3" custScaleY="125915">
        <dgm:presLayoutVars>
          <dgm:chPref val="3"/>
        </dgm:presLayoutVars>
      </dgm:prSet>
      <dgm:spPr/>
      <dgm:t>
        <a:bodyPr/>
        <a:lstStyle/>
        <a:p>
          <a:endParaRPr lang="en-GB"/>
        </a:p>
      </dgm:t>
    </dgm:pt>
    <dgm:pt modelId="{6DB6FA58-2A47-4F8A-9671-AC0AAB38BC82}" type="pres">
      <dgm:prSet presAssocID="{973C2183-0EC8-4B4A-B0A9-5568B85CF3E1}" presName="horzTwo" presStyleCnt="0"/>
      <dgm:spPr/>
    </dgm:pt>
    <dgm:pt modelId="{83A83DC1-4143-438F-AA28-718F8EEFC778}" type="pres">
      <dgm:prSet presAssocID="{EB204A8D-D925-431B-910A-E19DE7A0E349}" presName="sibSpaceTwo" presStyleCnt="0"/>
      <dgm:spPr/>
    </dgm:pt>
    <dgm:pt modelId="{BA7D54BB-EBB9-4194-9C76-75484356CA87}" type="pres">
      <dgm:prSet presAssocID="{7A231803-E0F5-4D13-8F06-6311A938E020}" presName="vertTwo" presStyleCnt="0"/>
      <dgm:spPr/>
    </dgm:pt>
    <dgm:pt modelId="{98297560-EC98-44E8-A579-B70955B8F8B6}" type="pres">
      <dgm:prSet presAssocID="{7A231803-E0F5-4D13-8F06-6311A938E020}" presName="txTwo" presStyleLbl="node2" presStyleIdx="1" presStyleCnt="3" custScaleY="125915">
        <dgm:presLayoutVars>
          <dgm:chPref val="3"/>
        </dgm:presLayoutVars>
      </dgm:prSet>
      <dgm:spPr/>
      <dgm:t>
        <a:bodyPr/>
        <a:lstStyle/>
        <a:p>
          <a:endParaRPr lang="en-GB"/>
        </a:p>
      </dgm:t>
    </dgm:pt>
    <dgm:pt modelId="{F27D8432-3B41-4DA1-9901-27C35620EA2A}" type="pres">
      <dgm:prSet presAssocID="{7A231803-E0F5-4D13-8F06-6311A938E020}" presName="horzTwo" presStyleCnt="0"/>
      <dgm:spPr/>
    </dgm:pt>
    <dgm:pt modelId="{D02283B8-43D7-4756-86DF-40D3F615D87A}" type="pres">
      <dgm:prSet presAssocID="{8140D8DC-4C5A-42BA-B119-2A0A47864A42}" presName="sibSpaceTwo" presStyleCnt="0"/>
      <dgm:spPr/>
    </dgm:pt>
    <dgm:pt modelId="{E41D4898-3765-4FF2-9B8F-E3434CF0CC26}" type="pres">
      <dgm:prSet presAssocID="{4BBF351A-A50C-45D7-926B-B6C485419C41}" presName="vertTwo" presStyleCnt="0"/>
      <dgm:spPr/>
    </dgm:pt>
    <dgm:pt modelId="{A84B1B29-D7A4-4C19-991A-D559599B8E93}" type="pres">
      <dgm:prSet presAssocID="{4BBF351A-A50C-45D7-926B-B6C485419C41}" presName="txTwo" presStyleLbl="node2" presStyleIdx="2" presStyleCnt="3" custScaleY="125915">
        <dgm:presLayoutVars>
          <dgm:chPref val="3"/>
        </dgm:presLayoutVars>
      </dgm:prSet>
      <dgm:spPr/>
      <dgm:t>
        <a:bodyPr/>
        <a:lstStyle/>
        <a:p>
          <a:endParaRPr lang="en-GB"/>
        </a:p>
      </dgm:t>
    </dgm:pt>
    <dgm:pt modelId="{C2D13388-0F74-4332-9DCA-5C9724915E4F}" type="pres">
      <dgm:prSet presAssocID="{4BBF351A-A50C-45D7-926B-B6C485419C41}" presName="horzTwo" presStyleCnt="0"/>
      <dgm:spPr/>
    </dgm:pt>
  </dgm:ptLst>
  <dgm:cxnLst>
    <dgm:cxn modelId="{139A2150-D94F-47E3-A7D8-CE1D752C7BDD}" srcId="{B9C81330-5E96-4E38-AC40-9E5A2535BB5E}" destId="{4BBF351A-A50C-45D7-926B-B6C485419C41}" srcOrd="2" destOrd="0" parTransId="{00344AC7-DC5F-475D-9CFA-8AD097FD85D2}" sibTransId="{FF757081-4985-47D4-9CB5-8FA6EA628B03}"/>
    <dgm:cxn modelId="{62A056F4-629A-4F9D-8C1E-766A6ACDEF2E}" type="presOf" srcId="{973C2183-0EC8-4B4A-B0A9-5568B85CF3E1}" destId="{EE169B56-A644-4B09-ACC7-936DDC0A91E6}" srcOrd="0" destOrd="0" presId="urn:microsoft.com/office/officeart/2005/8/layout/hierarchy4"/>
    <dgm:cxn modelId="{3060E04F-E800-43DF-A7F1-1A8829FBB275}" type="presOf" srcId="{AA697604-C478-4F1E-8F6D-B3BEDA9CB7D3}" destId="{D4809ED6-FE51-40CE-A0B1-B9D3E5C73738}" srcOrd="0" destOrd="0" presId="urn:microsoft.com/office/officeart/2005/8/layout/hierarchy4"/>
    <dgm:cxn modelId="{293BFDEA-7992-4870-81B0-9F08B44E6077}" srcId="{AA697604-C478-4F1E-8F6D-B3BEDA9CB7D3}" destId="{B9C81330-5E96-4E38-AC40-9E5A2535BB5E}" srcOrd="0" destOrd="0" parTransId="{EE820B9A-3A3B-480F-A69F-5818B01AA575}" sibTransId="{09D41AF4-1852-45D1-A1BF-6C726FF635C6}"/>
    <dgm:cxn modelId="{778E56C7-6F51-4BA8-87B7-E812103EFE18}" srcId="{B9C81330-5E96-4E38-AC40-9E5A2535BB5E}" destId="{973C2183-0EC8-4B4A-B0A9-5568B85CF3E1}" srcOrd="0" destOrd="0" parTransId="{9DEC4223-7F77-4316-824E-DC0E4BBBF5C5}" sibTransId="{EB204A8D-D925-431B-910A-E19DE7A0E349}"/>
    <dgm:cxn modelId="{6C0F7801-3387-4EB3-9483-1A7834F8E4A9}" type="presOf" srcId="{7A231803-E0F5-4D13-8F06-6311A938E020}" destId="{98297560-EC98-44E8-A579-B70955B8F8B6}" srcOrd="0" destOrd="0" presId="urn:microsoft.com/office/officeart/2005/8/layout/hierarchy4"/>
    <dgm:cxn modelId="{71DE0B1F-9139-43F2-89C9-D660AA2C5CE5}" type="presOf" srcId="{4BBF351A-A50C-45D7-926B-B6C485419C41}" destId="{A84B1B29-D7A4-4C19-991A-D559599B8E93}" srcOrd="0" destOrd="0" presId="urn:microsoft.com/office/officeart/2005/8/layout/hierarchy4"/>
    <dgm:cxn modelId="{96816D25-D095-4A56-8E49-69FA0EF8354A}" srcId="{B9C81330-5E96-4E38-AC40-9E5A2535BB5E}" destId="{7A231803-E0F5-4D13-8F06-6311A938E020}" srcOrd="1" destOrd="0" parTransId="{ADD9EC11-710D-423D-B141-72E5A4E00C78}" sibTransId="{8140D8DC-4C5A-42BA-B119-2A0A47864A42}"/>
    <dgm:cxn modelId="{D5A29D79-89E0-4343-90E8-41083CA228E2}" type="presOf" srcId="{B9C81330-5E96-4E38-AC40-9E5A2535BB5E}" destId="{71A524EF-CF2A-4389-9E6D-38C4BF488BEB}" srcOrd="0" destOrd="0" presId="urn:microsoft.com/office/officeart/2005/8/layout/hierarchy4"/>
    <dgm:cxn modelId="{7ECF9283-E3CD-4336-B0FF-EE78D1CCE3AA}" type="presParOf" srcId="{D4809ED6-FE51-40CE-A0B1-B9D3E5C73738}" destId="{C5B861C7-C994-4A72-8A69-866ADF82C84E}" srcOrd="0" destOrd="0" presId="urn:microsoft.com/office/officeart/2005/8/layout/hierarchy4"/>
    <dgm:cxn modelId="{B0E03FFA-D8DB-44D0-860C-8C389B4C2031}" type="presParOf" srcId="{C5B861C7-C994-4A72-8A69-866ADF82C84E}" destId="{71A524EF-CF2A-4389-9E6D-38C4BF488BEB}" srcOrd="0" destOrd="0" presId="urn:microsoft.com/office/officeart/2005/8/layout/hierarchy4"/>
    <dgm:cxn modelId="{FB61E060-63FA-4529-B50C-3B5D0F3F9AE9}" type="presParOf" srcId="{C5B861C7-C994-4A72-8A69-866ADF82C84E}" destId="{E44F8DC6-8329-4BC6-91F2-1B133AB56689}" srcOrd="1" destOrd="0" presId="urn:microsoft.com/office/officeart/2005/8/layout/hierarchy4"/>
    <dgm:cxn modelId="{917CDFCC-300F-4CC4-9807-6EF1FE18CAD3}" type="presParOf" srcId="{C5B861C7-C994-4A72-8A69-866ADF82C84E}" destId="{72AFDCA6-06CB-4CE0-9D3B-9FB69A93F481}" srcOrd="2" destOrd="0" presId="urn:microsoft.com/office/officeart/2005/8/layout/hierarchy4"/>
    <dgm:cxn modelId="{7FB46B3C-9DE0-4FCD-A54B-A9AF452EBD8F}" type="presParOf" srcId="{72AFDCA6-06CB-4CE0-9D3B-9FB69A93F481}" destId="{3F2111BC-A77B-42ED-9F50-2E1A0560D9F1}" srcOrd="0" destOrd="0" presId="urn:microsoft.com/office/officeart/2005/8/layout/hierarchy4"/>
    <dgm:cxn modelId="{D6843584-B01E-4787-BBFA-1E27DF98E000}" type="presParOf" srcId="{3F2111BC-A77B-42ED-9F50-2E1A0560D9F1}" destId="{EE169B56-A644-4B09-ACC7-936DDC0A91E6}" srcOrd="0" destOrd="0" presId="urn:microsoft.com/office/officeart/2005/8/layout/hierarchy4"/>
    <dgm:cxn modelId="{B41AC879-C4C4-415B-A287-519872BC1D59}" type="presParOf" srcId="{3F2111BC-A77B-42ED-9F50-2E1A0560D9F1}" destId="{6DB6FA58-2A47-4F8A-9671-AC0AAB38BC82}" srcOrd="1" destOrd="0" presId="urn:microsoft.com/office/officeart/2005/8/layout/hierarchy4"/>
    <dgm:cxn modelId="{ECDDC445-103E-4D3B-AE3E-C4BCC238D0FD}" type="presParOf" srcId="{72AFDCA6-06CB-4CE0-9D3B-9FB69A93F481}" destId="{83A83DC1-4143-438F-AA28-718F8EEFC778}" srcOrd="1" destOrd="0" presId="urn:microsoft.com/office/officeart/2005/8/layout/hierarchy4"/>
    <dgm:cxn modelId="{CC694FB8-3946-4F34-B79F-79C0EE416DEA}" type="presParOf" srcId="{72AFDCA6-06CB-4CE0-9D3B-9FB69A93F481}" destId="{BA7D54BB-EBB9-4194-9C76-75484356CA87}" srcOrd="2" destOrd="0" presId="urn:microsoft.com/office/officeart/2005/8/layout/hierarchy4"/>
    <dgm:cxn modelId="{96F217DD-FF23-4B3D-851E-83878AA1A515}" type="presParOf" srcId="{BA7D54BB-EBB9-4194-9C76-75484356CA87}" destId="{98297560-EC98-44E8-A579-B70955B8F8B6}" srcOrd="0" destOrd="0" presId="urn:microsoft.com/office/officeart/2005/8/layout/hierarchy4"/>
    <dgm:cxn modelId="{159D5651-096B-440F-A54A-D4F0E50448E1}" type="presParOf" srcId="{BA7D54BB-EBB9-4194-9C76-75484356CA87}" destId="{F27D8432-3B41-4DA1-9901-27C35620EA2A}" srcOrd="1" destOrd="0" presId="urn:microsoft.com/office/officeart/2005/8/layout/hierarchy4"/>
    <dgm:cxn modelId="{E10CAD89-AFBF-41C7-9943-8BE47EB3F444}" type="presParOf" srcId="{72AFDCA6-06CB-4CE0-9D3B-9FB69A93F481}" destId="{D02283B8-43D7-4756-86DF-40D3F615D87A}" srcOrd="3" destOrd="0" presId="urn:microsoft.com/office/officeart/2005/8/layout/hierarchy4"/>
    <dgm:cxn modelId="{27BAC9EE-B581-4E84-A1C1-4CA3608E87D0}" type="presParOf" srcId="{72AFDCA6-06CB-4CE0-9D3B-9FB69A93F481}" destId="{E41D4898-3765-4FF2-9B8F-E3434CF0CC26}" srcOrd="4" destOrd="0" presId="urn:microsoft.com/office/officeart/2005/8/layout/hierarchy4"/>
    <dgm:cxn modelId="{4F67AC85-12F7-4477-9CEB-3BAE45014063}" type="presParOf" srcId="{E41D4898-3765-4FF2-9B8F-E3434CF0CC26}" destId="{A84B1B29-D7A4-4C19-991A-D559599B8E93}" srcOrd="0" destOrd="0" presId="urn:microsoft.com/office/officeart/2005/8/layout/hierarchy4"/>
    <dgm:cxn modelId="{42AB7A90-134F-4EBD-9341-908316C0B43F}" type="presParOf" srcId="{E41D4898-3765-4FF2-9B8F-E3434CF0CC26}" destId="{C2D13388-0F74-4332-9DCA-5C9724915E4F}" srcOrd="1" destOrd="0" presId="urn:microsoft.com/office/officeart/2005/8/layout/hierarchy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A697604-C478-4F1E-8F6D-B3BEDA9CB7D3}" type="doc">
      <dgm:prSet loTypeId="urn:microsoft.com/office/officeart/2005/8/layout/hierarchy4" loCatId="hierarchy" qsTypeId="urn:microsoft.com/office/officeart/2005/8/quickstyle/simple1" qsCatId="simple" csTypeId="urn:microsoft.com/office/officeart/2005/8/colors/colorful4" csCatId="colorful" phldr="1"/>
      <dgm:spPr/>
      <dgm:t>
        <a:bodyPr/>
        <a:lstStyle/>
        <a:p>
          <a:endParaRPr lang="en-GB"/>
        </a:p>
      </dgm:t>
    </dgm:pt>
    <dgm:pt modelId="{B9C81330-5E96-4E38-AC40-9E5A2535BB5E}">
      <dgm:prSet phldrT="[Text]"/>
      <dgm:spPr/>
      <dgm:t>
        <a:bodyPr/>
        <a:lstStyle/>
        <a:p>
          <a:r>
            <a:rPr lang="en-GB"/>
            <a:t>The Risk Management Process</a:t>
          </a:r>
        </a:p>
      </dgm:t>
    </dgm:pt>
    <dgm:pt modelId="{EE820B9A-3A3B-480F-A69F-5818B01AA575}" type="parTrans" cxnId="{293BFDEA-7992-4870-81B0-9F08B44E6077}">
      <dgm:prSet/>
      <dgm:spPr/>
      <dgm:t>
        <a:bodyPr/>
        <a:lstStyle/>
        <a:p>
          <a:endParaRPr lang="en-GB"/>
        </a:p>
      </dgm:t>
    </dgm:pt>
    <dgm:pt modelId="{09D41AF4-1852-45D1-A1BF-6C726FF635C6}" type="sibTrans" cxnId="{293BFDEA-7992-4870-81B0-9F08B44E6077}">
      <dgm:prSet/>
      <dgm:spPr/>
      <dgm:t>
        <a:bodyPr/>
        <a:lstStyle/>
        <a:p>
          <a:endParaRPr lang="en-GB"/>
        </a:p>
      </dgm:t>
    </dgm:pt>
    <dgm:pt modelId="{973C2183-0EC8-4B4A-B0A9-5568B85CF3E1}">
      <dgm:prSet phldrT="[Text]"/>
      <dgm:spPr/>
      <dgm:t>
        <a:bodyPr/>
        <a:lstStyle/>
        <a:p>
          <a:r>
            <a:rPr lang="en-GB" b="1"/>
            <a:t>Risk assessment </a:t>
          </a:r>
          <a:r>
            <a:rPr lang="en-GB"/>
            <a:t>to identify risks and control measures</a:t>
          </a:r>
        </a:p>
      </dgm:t>
    </dgm:pt>
    <dgm:pt modelId="{9DEC4223-7F77-4316-824E-DC0E4BBBF5C5}" type="parTrans" cxnId="{778E56C7-6F51-4BA8-87B7-E812103EFE18}">
      <dgm:prSet/>
      <dgm:spPr/>
      <dgm:t>
        <a:bodyPr/>
        <a:lstStyle/>
        <a:p>
          <a:endParaRPr lang="en-GB"/>
        </a:p>
      </dgm:t>
    </dgm:pt>
    <dgm:pt modelId="{EB204A8D-D925-431B-910A-E19DE7A0E349}" type="sibTrans" cxnId="{778E56C7-6F51-4BA8-87B7-E812103EFE18}">
      <dgm:prSet/>
      <dgm:spPr/>
      <dgm:t>
        <a:bodyPr/>
        <a:lstStyle/>
        <a:p>
          <a:endParaRPr lang="en-GB"/>
        </a:p>
      </dgm:t>
    </dgm:pt>
    <dgm:pt modelId="{7A231803-E0F5-4D13-8F06-6311A938E020}">
      <dgm:prSet phldrT="[Text]"/>
      <dgm:spPr/>
      <dgm:t>
        <a:bodyPr/>
        <a:lstStyle/>
        <a:p>
          <a:r>
            <a:rPr lang="en-GB" b="1"/>
            <a:t>Options appraisal </a:t>
          </a:r>
          <a:r>
            <a:rPr lang="en-GB"/>
            <a:t>to determine remediation strategy</a:t>
          </a:r>
        </a:p>
      </dgm:t>
    </dgm:pt>
    <dgm:pt modelId="{ADD9EC11-710D-423D-B141-72E5A4E00C78}" type="parTrans" cxnId="{96816D25-D095-4A56-8E49-69FA0EF8354A}">
      <dgm:prSet/>
      <dgm:spPr/>
      <dgm:t>
        <a:bodyPr/>
        <a:lstStyle/>
        <a:p>
          <a:endParaRPr lang="en-GB"/>
        </a:p>
      </dgm:t>
    </dgm:pt>
    <dgm:pt modelId="{8140D8DC-4C5A-42BA-B119-2A0A47864A42}" type="sibTrans" cxnId="{96816D25-D095-4A56-8E49-69FA0EF8354A}">
      <dgm:prSet/>
      <dgm:spPr/>
      <dgm:t>
        <a:bodyPr/>
        <a:lstStyle/>
        <a:p>
          <a:endParaRPr lang="en-GB"/>
        </a:p>
      </dgm:t>
    </dgm:pt>
    <dgm:pt modelId="{4BBF351A-A50C-45D7-926B-B6C485419C41}">
      <dgm:prSet phldrT="[Text]"/>
      <dgm:spPr/>
      <dgm:t>
        <a:bodyPr/>
        <a:lstStyle/>
        <a:p>
          <a:r>
            <a:rPr lang="en-GB" b="1" i="0"/>
            <a:t>Implementation</a:t>
          </a:r>
          <a:r>
            <a:rPr lang="en-GB"/>
            <a:t> of remediation strategy</a:t>
          </a:r>
        </a:p>
      </dgm:t>
    </dgm:pt>
    <dgm:pt modelId="{00344AC7-DC5F-475D-9CFA-8AD097FD85D2}" type="parTrans" cxnId="{139A2150-D94F-47E3-A7D8-CE1D752C7BDD}">
      <dgm:prSet/>
      <dgm:spPr/>
      <dgm:t>
        <a:bodyPr/>
        <a:lstStyle/>
        <a:p>
          <a:endParaRPr lang="en-GB"/>
        </a:p>
      </dgm:t>
    </dgm:pt>
    <dgm:pt modelId="{FF757081-4985-47D4-9CB5-8FA6EA628B03}" type="sibTrans" cxnId="{139A2150-D94F-47E3-A7D8-CE1D752C7BDD}">
      <dgm:prSet/>
      <dgm:spPr/>
      <dgm:t>
        <a:bodyPr/>
        <a:lstStyle/>
        <a:p>
          <a:endParaRPr lang="en-GB"/>
        </a:p>
      </dgm:t>
    </dgm:pt>
    <dgm:pt modelId="{D4809ED6-FE51-40CE-A0B1-B9D3E5C73738}" type="pres">
      <dgm:prSet presAssocID="{AA697604-C478-4F1E-8F6D-B3BEDA9CB7D3}" presName="Name0" presStyleCnt="0">
        <dgm:presLayoutVars>
          <dgm:chPref val="1"/>
          <dgm:dir/>
          <dgm:animOne val="branch"/>
          <dgm:animLvl val="lvl"/>
          <dgm:resizeHandles/>
        </dgm:presLayoutVars>
      </dgm:prSet>
      <dgm:spPr/>
      <dgm:t>
        <a:bodyPr/>
        <a:lstStyle/>
        <a:p>
          <a:endParaRPr lang="en-GB"/>
        </a:p>
      </dgm:t>
    </dgm:pt>
    <dgm:pt modelId="{C5B861C7-C994-4A72-8A69-866ADF82C84E}" type="pres">
      <dgm:prSet presAssocID="{B9C81330-5E96-4E38-AC40-9E5A2535BB5E}" presName="vertOne" presStyleCnt="0"/>
      <dgm:spPr/>
    </dgm:pt>
    <dgm:pt modelId="{71A524EF-CF2A-4389-9E6D-38C4BF488BEB}" type="pres">
      <dgm:prSet presAssocID="{B9C81330-5E96-4E38-AC40-9E5A2535BB5E}" presName="txOne" presStyleLbl="node0" presStyleIdx="0" presStyleCnt="1" custScaleY="39174">
        <dgm:presLayoutVars>
          <dgm:chPref val="3"/>
        </dgm:presLayoutVars>
      </dgm:prSet>
      <dgm:spPr/>
      <dgm:t>
        <a:bodyPr/>
        <a:lstStyle/>
        <a:p>
          <a:endParaRPr lang="en-GB"/>
        </a:p>
      </dgm:t>
    </dgm:pt>
    <dgm:pt modelId="{E44F8DC6-8329-4BC6-91F2-1B133AB56689}" type="pres">
      <dgm:prSet presAssocID="{B9C81330-5E96-4E38-AC40-9E5A2535BB5E}" presName="parTransOne" presStyleCnt="0"/>
      <dgm:spPr/>
    </dgm:pt>
    <dgm:pt modelId="{72AFDCA6-06CB-4CE0-9D3B-9FB69A93F481}" type="pres">
      <dgm:prSet presAssocID="{B9C81330-5E96-4E38-AC40-9E5A2535BB5E}" presName="horzOne" presStyleCnt="0"/>
      <dgm:spPr/>
    </dgm:pt>
    <dgm:pt modelId="{3F2111BC-A77B-42ED-9F50-2E1A0560D9F1}" type="pres">
      <dgm:prSet presAssocID="{973C2183-0EC8-4B4A-B0A9-5568B85CF3E1}" presName="vertTwo" presStyleCnt="0"/>
      <dgm:spPr/>
    </dgm:pt>
    <dgm:pt modelId="{EE169B56-A644-4B09-ACC7-936DDC0A91E6}" type="pres">
      <dgm:prSet presAssocID="{973C2183-0EC8-4B4A-B0A9-5568B85CF3E1}" presName="txTwo" presStyleLbl="node2" presStyleIdx="0" presStyleCnt="3" custScaleY="125915">
        <dgm:presLayoutVars>
          <dgm:chPref val="3"/>
        </dgm:presLayoutVars>
      </dgm:prSet>
      <dgm:spPr/>
      <dgm:t>
        <a:bodyPr/>
        <a:lstStyle/>
        <a:p>
          <a:endParaRPr lang="en-GB"/>
        </a:p>
      </dgm:t>
    </dgm:pt>
    <dgm:pt modelId="{6DB6FA58-2A47-4F8A-9671-AC0AAB38BC82}" type="pres">
      <dgm:prSet presAssocID="{973C2183-0EC8-4B4A-B0A9-5568B85CF3E1}" presName="horzTwo" presStyleCnt="0"/>
      <dgm:spPr/>
    </dgm:pt>
    <dgm:pt modelId="{83A83DC1-4143-438F-AA28-718F8EEFC778}" type="pres">
      <dgm:prSet presAssocID="{EB204A8D-D925-431B-910A-E19DE7A0E349}" presName="sibSpaceTwo" presStyleCnt="0"/>
      <dgm:spPr/>
    </dgm:pt>
    <dgm:pt modelId="{BA7D54BB-EBB9-4194-9C76-75484356CA87}" type="pres">
      <dgm:prSet presAssocID="{7A231803-E0F5-4D13-8F06-6311A938E020}" presName="vertTwo" presStyleCnt="0"/>
      <dgm:spPr/>
    </dgm:pt>
    <dgm:pt modelId="{98297560-EC98-44E8-A579-B70955B8F8B6}" type="pres">
      <dgm:prSet presAssocID="{7A231803-E0F5-4D13-8F06-6311A938E020}" presName="txTwo" presStyleLbl="node2" presStyleIdx="1" presStyleCnt="3" custScaleY="125915">
        <dgm:presLayoutVars>
          <dgm:chPref val="3"/>
        </dgm:presLayoutVars>
      </dgm:prSet>
      <dgm:spPr/>
      <dgm:t>
        <a:bodyPr/>
        <a:lstStyle/>
        <a:p>
          <a:endParaRPr lang="en-GB"/>
        </a:p>
      </dgm:t>
    </dgm:pt>
    <dgm:pt modelId="{F27D8432-3B41-4DA1-9901-27C35620EA2A}" type="pres">
      <dgm:prSet presAssocID="{7A231803-E0F5-4D13-8F06-6311A938E020}" presName="horzTwo" presStyleCnt="0"/>
      <dgm:spPr/>
    </dgm:pt>
    <dgm:pt modelId="{D02283B8-43D7-4756-86DF-40D3F615D87A}" type="pres">
      <dgm:prSet presAssocID="{8140D8DC-4C5A-42BA-B119-2A0A47864A42}" presName="sibSpaceTwo" presStyleCnt="0"/>
      <dgm:spPr/>
    </dgm:pt>
    <dgm:pt modelId="{E41D4898-3765-4FF2-9B8F-E3434CF0CC26}" type="pres">
      <dgm:prSet presAssocID="{4BBF351A-A50C-45D7-926B-B6C485419C41}" presName="vertTwo" presStyleCnt="0"/>
      <dgm:spPr/>
    </dgm:pt>
    <dgm:pt modelId="{A84B1B29-D7A4-4C19-991A-D559599B8E93}" type="pres">
      <dgm:prSet presAssocID="{4BBF351A-A50C-45D7-926B-B6C485419C41}" presName="txTwo" presStyleLbl="node2" presStyleIdx="2" presStyleCnt="3" custScaleY="125915">
        <dgm:presLayoutVars>
          <dgm:chPref val="3"/>
        </dgm:presLayoutVars>
      </dgm:prSet>
      <dgm:spPr/>
      <dgm:t>
        <a:bodyPr/>
        <a:lstStyle/>
        <a:p>
          <a:endParaRPr lang="en-GB"/>
        </a:p>
      </dgm:t>
    </dgm:pt>
    <dgm:pt modelId="{C2D13388-0F74-4332-9DCA-5C9724915E4F}" type="pres">
      <dgm:prSet presAssocID="{4BBF351A-A50C-45D7-926B-B6C485419C41}" presName="horzTwo" presStyleCnt="0"/>
      <dgm:spPr/>
    </dgm:pt>
  </dgm:ptLst>
  <dgm:cxnLst>
    <dgm:cxn modelId="{139A2150-D94F-47E3-A7D8-CE1D752C7BDD}" srcId="{B9C81330-5E96-4E38-AC40-9E5A2535BB5E}" destId="{4BBF351A-A50C-45D7-926B-B6C485419C41}" srcOrd="2" destOrd="0" parTransId="{00344AC7-DC5F-475D-9CFA-8AD097FD85D2}" sibTransId="{FF757081-4985-47D4-9CB5-8FA6EA628B03}"/>
    <dgm:cxn modelId="{F491AC35-8AC3-4661-A753-8F34376978B7}" type="presOf" srcId="{B9C81330-5E96-4E38-AC40-9E5A2535BB5E}" destId="{71A524EF-CF2A-4389-9E6D-38C4BF488BEB}" srcOrd="0" destOrd="0" presId="urn:microsoft.com/office/officeart/2005/8/layout/hierarchy4"/>
    <dgm:cxn modelId="{293BFDEA-7992-4870-81B0-9F08B44E6077}" srcId="{AA697604-C478-4F1E-8F6D-B3BEDA9CB7D3}" destId="{B9C81330-5E96-4E38-AC40-9E5A2535BB5E}" srcOrd="0" destOrd="0" parTransId="{EE820B9A-3A3B-480F-A69F-5818B01AA575}" sibTransId="{09D41AF4-1852-45D1-A1BF-6C726FF635C6}"/>
    <dgm:cxn modelId="{F84E6ABC-6B46-4295-AACB-7C6246B79098}" type="presOf" srcId="{AA697604-C478-4F1E-8F6D-B3BEDA9CB7D3}" destId="{D4809ED6-FE51-40CE-A0B1-B9D3E5C73738}" srcOrd="0" destOrd="0" presId="urn:microsoft.com/office/officeart/2005/8/layout/hierarchy4"/>
    <dgm:cxn modelId="{1013C5D4-BF05-43AE-BCB9-927F953B7D85}" type="presOf" srcId="{4BBF351A-A50C-45D7-926B-B6C485419C41}" destId="{A84B1B29-D7A4-4C19-991A-D559599B8E93}" srcOrd="0" destOrd="0" presId="urn:microsoft.com/office/officeart/2005/8/layout/hierarchy4"/>
    <dgm:cxn modelId="{9AB0EF2A-FC42-4EF9-8A26-C76E3F265550}" type="presOf" srcId="{973C2183-0EC8-4B4A-B0A9-5568B85CF3E1}" destId="{EE169B56-A644-4B09-ACC7-936DDC0A91E6}" srcOrd="0" destOrd="0" presId="urn:microsoft.com/office/officeart/2005/8/layout/hierarchy4"/>
    <dgm:cxn modelId="{778E56C7-6F51-4BA8-87B7-E812103EFE18}" srcId="{B9C81330-5E96-4E38-AC40-9E5A2535BB5E}" destId="{973C2183-0EC8-4B4A-B0A9-5568B85CF3E1}" srcOrd="0" destOrd="0" parTransId="{9DEC4223-7F77-4316-824E-DC0E4BBBF5C5}" sibTransId="{EB204A8D-D925-431B-910A-E19DE7A0E349}"/>
    <dgm:cxn modelId="{8994F076-DE7F-42BF-B7FB-0D34B4D1D8B4}" type="presOf" srcId="{7A231803-E0F5-4D13-8F06-6311A938E020}" destId="{98297560-EC98-44E8-A579-B70955B8F8B6}" srcOrd="0" destOrd="0" presId="urn:microsoft.com/office/officeart/2005/8/layout/hierarchy4"/>
    <dgm:cxn modelId="{96816D25-D095-4A56-8E49-69FA0EF8354A}" srcId="{B9C81330-5E96-4E38-AC40-9E5A2535BB5E}" destId="{7A231803-E0F5-4D13-8F06-6311A938E020}" srcOrd="1" destOrd="0" parTransId="{ADD9EC11-710D-423D-B141-72E5A4E00C78}" sibTransId="{8140D8DC-4C5A-42BA-B119-2A0A47864A42}"/>
    <dgm:cxn modelId="{99AA7AAB-3C2E-4DC3-869F-96C6DB9E7C0D}" type="presParOf" srcId="{D4809ED6-FE51-40CE-A0B1-B9D3E5C73738}" destId="{C5B861C7-C994-4A72-8A69-866ADF82C84E}" srcOrd="0" destOrd="0" presId="urn:microsoft.com/office/officeart/2005/8/layout/hierarchy4"/>
    <dgm:cxn modelId="{1F9BD779-3068-4BE6-8EDD-6C16320A7FF7}" type="presParOf" srcId="{C5B861C7-C994-4A72-8A69-866ADF82C84E}" destId="{71A524EF-CF2A-4389-9E6D-38C4BF488BEB}" srcOrd="0" destOrd="0" presId="urn:microsoft.com/office/officeart/2005/8/layout/hierarchy4"/>
    <dgm:cxn modelId="{143B6B0C-2AA8-4519-A8D6-5897F5A61042}" type="presParOf" srcId="{C5B861C7-C994-4A72-8A69-866ADF82C84E}" destId="{E44F8DC6-8329-4BC6-91F2-1B133AB56689}" srcOrd="1" destOrd="0" presId="urn:microsoft.com/office/officeart/2005/8/layout/hierarchy4"/>
    <dgm:cxn modelId="{7467BC57-F46F-439C-8063-135B8827180B}" type="presParOf" srcId="{C5B861C7-C994-4A72-8A69-866ADF82C84E}" destId="{72AFDCA6-06CB-4CE0-9D3B-9FB69A93F481}" srcOrd="2" destOrd="0" presId="urn:microsoft.com/office/officeart/2005/8/layout/hierarchy4"/>
    <dgm:cxn modelId="{2372266D-0029-41D6-9CFE-B763D2A3FD9F}" type="presParOf" srcId="{72AFDCA6-06CB-4CE0-9D3B-9FB69A93F481}" destId="{3F2111BC-A77B-42ED-9F50-2E1A0560D9F1}" srcOrd="0" destOrd="0" presId="urn:microsoft.com/office/officeart/2005/8/layout/hierarchy4"/>
    <dgm:cxn modelId="{03DB098C-1D16-4F51-AA8A-3A07D23B19B7}" type="presParOf" srcId="{3F2111BC-A77B-42ED-9F50-2E1A0560D9F1}" destId="{EE169B56-A644-4B09-ACC7-936DDC0A91E6}" srcOrd="0" destOrd="0" presId="urn:microsoft.com/office/officeart/2005/8/layout/hierarchy4"/>
    <dgm:cxn modelId="{66570C79-E542-48EE-A520-ACA06644761F}" type="presParOf" srcId="{3F2111BC-A77B-42ED-9F50-2E1A0560D9F1}" destId="{6DB6FA58-2A47-4F8A-9671-AC0AAB38BC82}" srcOrd="1" destOrd="0" presId="urn:microsoft.com/office/officeart/2005/8/layout/hierarchy4"/>
    <dgm:cxn modelId="{E6B4B17C-4F14-4292-B148-5EC90B320990}" type="presParOf" srcId="{72AFDCA6-06CB-4CE0-9D3B-9FB69A93F481}" destId="{83A83DC1-4143-438F-AA28-718F8EEFC778}" srcOrd="1" destOrd="0" presId="urn:microsoft.com/office/officeart/2005/8/layout/hierarchy4"/>
    <dgm:cxn modelId="{DA08A053-77A9-407A-8C6F-AA87DE251740}" type="presParOf" srcId="{72AFDCA6-06CB-4CE0-9D3B-9FB69A93F481}" destId="{BA7D54BB-EBB9-4194-9C76-75484356CA87}" srcOrd="2" destOrd="0" presId="urn:microsoft.com/office/officeart/2005/8/layout/hierarchy4"/>
    <dgm:cxn modelId="{A0C6DAD8-3E36-42AF-8497-63A33FA7C03A}" type="presParOf" srcId="{BA7D54BB-EBB9-4194-9C76-75484356CA87}" destId="{98297560-EC98-44E8-A579-B70955B8F8B6}" srcOrd="0" destOrd="0" presId="urn:microsoft.com/office/officeart/2005/8/layout/hierarchy4"/>
    <dgm:cxn modelId="{C58125BC-97E9-4212-9904-B1870A1110F3}" type="presParOf" srcId="{BA7D54BB-EBB9-4194-9C76-75484356CA87}" destId="{F27D8432-3B41-4DA1-9901-27C35620EA2A}" srcOrd="1" destOrd="0" presId="urn:microsoft.com/office/officeart/2005/8/layout/hierarchy4"/>
    <dgm:cxn modelId="{9AFFF0B8-6E48-412F-9366-72282D992FA8}" type="presParOf" srcId="{72AFDCA6-06CB-4CE0-9D3B-9FB69A93F481}" destId="{D02283B8-43D7-4756-86DF-40D3F615D87A}" srcOrd="3" destOrd="0" presId="urn:microsoft.com/office/officeart/2005/8/layout/hierarchy4"/>
    <dgm:cxn modelId="{D5CE6056-29D5-4B79-9FF3-9ECDF2F2FC82}" type="presParOf" srcId="{72AFDCA6-06CB-4CE0-9D3B-9FB69A93F481}" destId="{E41D4898-3765-4FF2-9B8F-E3434CF0CC26}" srcOrd="4" destOrd="0" presId="urn:microsoft.com/office/officeart/2005/8/layout/hierarchy4"/>
    <dgm:cxn modelId="{14114494-14D5-44BA-B8C6-DA2D884BA1E3}" type="presParOf" srcId="{E41D4898-3765-4FF2-9B8F-E3434CF0CC26}" destId="{A84B1B29-D7A4-4C19-991A-D559599B8E93}" srcOrd="0" destOrd="0" presId="urn:microsoft.com/office/officeart/2005/8/layout/hierarchy4"/>
    <dgm:cxn modelId="{5DAD5CE4-272D-4FEE-B300-DC61422A7318}" type="presParOf" srcId="{E41D4898-3765-4FF2-9B8F-E3434CF0CC26}" destId="{C2D13388-0F74-4332-9DCA-5C9724915E4F}" srcOrd="1" destOrd="0" presId="urn:microsoft.com/office/officeart/2005/8/layout/hierarchy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A697604-C478-4F1E-8F6D-B3BEDA9CB7D3}" type="doc">
      <dgm:prSet loTypeId="urn:microsoft.com/office/officeart/2005/8/layout/hierarchy4" loCatId="hierarchy" qsTypeId="urn:microsoft.com/office/officeart/2005/8/quickstyle/simple1" qsCatId="simple" csTypeId="urn:microsoft.com/office/officeart/2005/8/colors/colorful5" csCatId="colorful" phldr="1"/>
      <dgm:spPr/>
      <dgm:t>
        <a:bodyPr/>
        <a:lstStyle/>
        <a:p>
          <a:endParaRPr lang="en-GB"/>
        </a:p>
      </dgm:t>
    </dgm:pt>
    <dgm:pt modelId="{B9C81330-5E96-4E38-AC40-9E5A2535BB5E}">
      <dgm:prSet phldrT="[Text]"/>
      <dgm:spPr/>
      <dgm:t>
        <a:bodyPr/>
        <a:lstStyle/>
        <a:p>
          <a:r>
            <a:rPr lang="en-GB"/>
            <a:t>Model Procedures for Land Contamination</a:t>
          </a:r>
        </a:p>
      </dgm:t>
    </dgm:pt>
    <dgm:pt modelId="{EE820B9A-3A3B-480F-A69F-5818B01AA575}" type="parTrans" cxnId="{293BFDEA-7992-4870-81B0-9F08B44E6077}">
      <dgm:prSet/>
      <dgm:spPr/>
      <dgm:t>
        <a:bodyPr/>
        <a:lstStyle/>
        <a:p>
          <a:endParaRPr lang="en-GB"/>
        </a:p>
      </dgm:t>
    </dgm:pt>
    <dgm:pt modelId="{09D41AF4-1852-45D1-A1BF-6C726FF635C6}" type="sibTrans" cxnId="{293BFDEA-7992-4870-81B0-9F08B44E6077}">
      <dgm:prSet/>
      <dgm:spPr/>
      <dgm:t>
        <a:bodyPr/>
        <a:lstStyle/>
        <a:p>
          <a:endParaRPr lang="en-GB"/>
        </a:p>
      </dgm:t>
    </dgm:pt>
    <dgm:pt modelId="{973C2183-0EC8-4B4A-B0A9-5568B85CF3E1}">
      <dgm:prSet phldrT="[Text]" custT="1"/>
      <dgm:spPr/>
      <dgm:t>
        <a:bodyPr/>
        <a:lstStyle/>
        <a:p>
          <a:r>
            <a:rPr lang="en-GB" sz="800" b="0"/>
            <a:t>1. Preliminary Risk Assessment</a:t>
          </a:r>
        </a:p>
      </dgm:t>
    </dgm:pt>
    <dgm:pt modelId="{9DEC4223-7F77-4316-824E-DC0E4BBBF5C5}" type="parTrans" cxnId="{778E56C7-6F51-4BA8-87B7-E812103EFE18}">
      <dgm:prSet/>
      <dgm:spPr/>
      <dgm:t>
        <a:bodyPr/>
        <a:lstStyle/>
        <a:p>
          <a:endParaRPr lang="en-GB"/>
        </a:p>
      </dgm:t>
    </dgm:pt>
    <dgm:pt modelId="{EB204A8D-D925-431B-910A-E19DE7A0E349}" type="sibTrans" cxnId="{778E56C7-6F51-4BA8-87B7-E812103EFE18}">
      <dgm:prSet/>
      <dgm:spPr/>
      <dgm:t>
        <a:bodyPr/>
        <a:lstStyle/>
        <a:p>
          <a:endParaRPr lang="en-GB"/>
        </a:p>
      </dgm:t>
    </dgm:pt>
    <dgm:pt modelId="{7A231803-E0F5-4D13-8F06-6311A938E020}">
      <dgm:prSet phldrT="[Text]" custT="1"/>
      <dgm:spPr/>
      <dgm:t>
        <a:bodyPr/>
        <a:lstStyle/>
        <a:p>
          <a:r>
            <a:rPr lang="en-GB" sz="800"/>
            <a:t>2. Generic Quantitive Risk Assessment</a:t>
          </a:r>
        </a:p>
      </dgm:t>
    </dgm:pt>
    <dgm:pt modelId="{ADD9EC11-710D-423D-B141-72E5A4E00C78}" type="parTrans" cxnId="{96816D25-D095-4A56-8E49-69FA0EF8354A}">
      <dgm:prSet/>
      <dgm:spPr/>
      <dgm:t>
        <a:bodyPr/>
        <a:lstStyle/>
        <a:p>
          <a:endParaRPr lang="en-GB"/>
        </a:p>
      </dgm:t>
    </dgm:pt>
    <dgm:pt modelId="{8140D8DC-4C5A-42BA-B119-2A0A47864A42}" type="sibTrans" cxnId="{96816D25-D095-4A56-8E49-69FA0EF8354A}">
      <dgm:prSet/>
      <dgm:spPr/>
      <dgm:t>
        <a:bodyPr/>
        <a:lstStyle/>
        <a:p>
          <a:endParaRPr lang="en-GB"/>
        </a:p>
      </dgm:t>
    </dgm:pt>
    <dgm:pt modelId="{4BBF351A-A50C-45D7-926B-B6C485419C41}">
      <dgm:prSet phldrT="[Text]" custT="1"/>
      <dgm:spPr/>
      <dgm:t>
        <a:bodyPr/>
        <a:lstStyle/>
        <a:p>
          <a:r>
            <a:rPr lang="en-GB" sz="800" b="0" i="0"/>
            <a:t>3. Detailed Quantitative Risk Assessment</a:t>
          </a:r>
          <a:endParaRPr lang="en-GB" sz="800" b="0"/>
        </a:p>
      </dgm:t>
    </dgm:pt>
    <dgm:pt modelId="{00344AC7-DC5F-475D-9CFA-8AD097FD85D2}" type="parTrans" cxnId="{139A2150-D94F-47E3-A7D8-CE1D752C7BDD}">
      <dgm:prSet/>
      <dgm:spPr/>
      <dgm:t>
        <a:bodyPr/>
        <a:lstStyle/>
        <a:p>
          <a:endParaRPr lang="en-GB"/>
        </a:p>
      </dgm:t>
    </dgm:pt>
    <dgm:pt modelId="{FF757081-4985-47D4-9CB5-8FA6EA628B03}" type="sibTrans" cxnId="{139A2150-D94F-47E3-A7D8-CE1D752C7BDD}">
      <dgm:prSet/>
      <dgm:spPr/>
      <dgm:t>
        <a:bodyPr/>
        <a:lstStyle/>
        <a:p>
          <a:endParaRPr lang="en-GB"/>
        </a:p>
      </dgm:t>
    </dgm:pt>
    <dgm:pt modelId="{D4809ED6-FE51-40CE-A0B1-B9D3E5C73738}" type="pres">
      <dgm:prSet presAssocID="{AA697604-C478-4F1E-8F6D-B3BEDA9CB7D3}" presName="Name0" presStyleCnt="0">
        <dgm:presLayoutVars>
          <dgm:chPref val="1"/>
          <dgm:dir/>
          <dgm:animOne val="branch"/>
          <dgm:animLvl val="lvl"/>
          <dgm:resizeHandles/>
        </dgm:presLayoutVars>
      </dgm:prSet>
      <dgm:spPr/>
      <dgm:t>
        <a:bodyPr/>
        <a:lstStyle/>
        <a:p>
          <a:endParaRPr lang="en-GB"/>
        </a:p>
      </dgm:t>
    </dgm:pt>
    <dgm:pt modelId="{C5B861C7-C994-4A72-8A69-866ADF82C84E}" type="pres">
      <dgm:prSet presAssocID="{B9C81330-5E96-4E38-AC40-9E5A2535BB5E}" presName="vertOne" presStyleCnt="0"/>
      <dgm:spPr/>
    </dgm:pt>
    <dgm:pt modelId="{71A524EF-CF2A-4389-9E6D-38C4BF488BEB}" type="pres">
      <dgm:prSet presAssocID="{B9C81330-5E96-4E38-AC40-9E5A2535BB5E}" presName="txOne" presStyleLbl="node0" presStyleIdx="0" presStyleCnt="1" custScaleY="39174">
        <dgm:presLayoutVars>
          <dgm:chPref val="3"/>
        </dgm:presLayoutVars>
      </dgm:prSet>
      <dgm:spPr/>
      <dgm:t>
        <a:bodyPr/>
        <a:lstStyle/>
        <a:p>
          <a:endParaRPr lang="en-GB"/>
        </a:p>
      </dgm:t>
    </dgm:pt>
    <dgm:pt modelId="{E44F8DC6-8329-4BC6-91F2-1B133AB56689}" type="pres">
      <dgm:prSet presAssocID="{B9C81330-5E96-4E38-AC40-9E5A2535BB5E}" presName="parTransOne" presStyleCnt="0"/>
      <dgm:spPr/>
    </dgm:pt>
    <dgm:pt modelId="{72AFDCA6-06CB-4CE0-9D3B-9FB69A93F481}" type="pres">
      <dgm:prSet presAssocID="{B9C81330-5E96-4E38-AC40-9E5A2535BB5E}" presName="horzOne" presStyleCnt="0"/>
      <dgm:spPr/>
    </dgm:pt>
    <dgm:pt modelId="{3F2111BC-A77B-42ED-9F50-2E1A0560D9F1}" type="pres">
      <dgm:prSet presAssocID="{973C2183-0EC8-4B4A-B0A9-5568B85CF3E1}" presName="vertTwo" presStyleCnt="0"/>
      <dgm:spPr/>
    </dgm:pt>
    <dgm:pt modelId="{EE169B56-A644-4B09-ACC7-936DDC0A91E6}" type="pres">
      <dgm:prSet presAssocID="{973C2183-0EC8-4B4A-B0A9-5568B85CF3E1}" presName="txTwo" presStyleLbl="node2" presStyleIdx="0" presStyleCnt="3" custScaleY="125915">
        <dgm:presLayoutVars>
          <dgm:chPref val="3"/>
        </dgm:presLayoutVars>
      </dgm:prSet>
      <dgm:spPr/>
      <dgm:t>
        <a:bodyPr/>
        <a:lstStyle/>
        <a:p>
          <a:endParaRPr lang="en-GB"/>
        </a:p>
      </dgm:t>
    </dgm:pt>
    <dgm:pt modelId="{6DB6FA58-2A47-4F8A-9671-AC0AAB38BC82}" type="pres">
      <dgm:prSet presAssocID="{973C2183-0EC8-4B4A-B0A9-5568B85CF3E1}" presName="horzTwo" presStyleCnt="0"/>
      <dgm:spPr/>
    </dgm:pt>
    <dgm:pt modelId="{83A83DC1-4143-438F-AA28-718F8EEFC778}" type="pres">
      <dgm:prSet presAssocID="{EB204A8D-D925-431B-910A-E19DE7A0E349}" presName="sibSpaceTwo" presStyleCnt="0"/>
      <dgm:spPr/>
    </dgm:pt>
    <dgm:pt modelId="{BA7D54BB-EBB9-4194-9C76-75484356CA87}" type="pres">
      <dgm:prSet presAssocID="{7A231803-E0F5-4D13-8F06-6311A938E020}" presName="vertTwo" presStyleCnt="0"/>
      <dgm:spPr/>
    </dgm:pt>
    <dgm:pt modelId="{98297560-EC98-44E8-A579-B70955B8F8B6}" type="pres">
      <dgm:prSet presAssocID="{7A231803-E0F5-4D13-8F06-6311A938E020}" presName="txTwo" presStyleLbl="node2" presStyleIdx="1" presStyleCnt="3" custScaleY="125915">
        <dgm:presLayoutVars>
          <dgm:chPref val="3"/>
        </dgm:presLayoutVars>
      </dgm:prSet>
      <dgm:spPr/>
      <dgm:t>
        <a:bodyPr/>
        <a:lstStyle/>
        <a:p>
          <a:endParaRPr lang="en-GB"/>
        </a:p>
      </dgm:t>
    </dgm:pt>
    <dgm:pt modelId="{F27D8432-3B41-4DA1-9901-27C35620EA2A}" type="pres">
      <dgm:prSet presAssocID="{7A231803-E0F5-4D13-8F06-6311A938E020}" presName="horzTwo" presStyleCnt="0"/>
      <dgm:spPr/>
    </dgm:pt>
    <dgm:pt modelId="{D02283B8-43D7-4756-86DF-40D3F615D87A}" type="pres">
      <dgm:prSet presAssocID="{8140D8DC-4C5A-42BA-B119-2A0A47864A42}" presName="sibSpaceTwo" presStyleCnt="0"/>
      <dgm:spPr/>
    </dgm:pt>
    <dgm:pt modelId="{E41D4898-3765-4FF2-9B8F-E3434CF0CC26}" type="pres">
      <dgm:prSet presAssocID="{4BBF351A-A50C-45D7-926B-B6C485419C41}" presName="vertTwo" presStyleCnt="0"/>
      <dgm:spPr/>
    </dgm:pt>
    <dgm:pt modelId="{A84B1B29-D7A4-4C19-991A-D559599B8E93}" type="pres">
      <dgm:prSet presAssocID="{4BBF351A-A50C-45D7-926B-B6C485419C41}" presName="txTwo" presStyleLbl="node2" presStyleIdx="2" presStyleCnt="3" custScaleY="125915">
        <dgm:presLayoutVars>
          <dgm:chPref val="3"/>
        </dgm:presLayoutVars>
      </dgm:prSet>
      <dgm:spPr/>
      <dgm:t>
        <a:bodyPr/>
        <a:lstStyle/>
        <a:p>
          <a:endParaRPr lang="en-GB"/>
        </a:p>
      </dgm:t>
    </dgm:pt>
    <dgm:pt modelId="{C2D13388-0F74-4332-9DCA-5C9724915E4F}" type="pres">
      <dgm:prSet presAssocID="{4BBF351A-A50C-45D7-926B-B6C485419C41}" presName="horzTwo" presStyleCnt="0"/>
      <dgm:spPr/>
    </dgm:pt>
  </dgm:ptLst>
  <dgm:cxnLst>
    <dgm:cxn modelId="{139A2150-D94F-47E3-A7D8-CE1D752C7BDD}" srcId="{B9C81330-5E96-4E38-AC40-9E5A2535BB5E}" destId="{4BBF351A-A50C-45D7-926B-B6C485419C41}" srcOrd="2" destOrd="0" parTransId="{00344AC7-DC5F-475D-9CFA-8AD097FD85D2}" sibTransId="{FF757081-4985-47D4-9CB5-8FA6EA628B03}"/>
    <dgm:cxn modelId="{9BF43F3D-9069-484C-B6F5-094499DB8DE0}" type="presOf" srcId="{B9C81330-5E96-4E38-AC40-9E5A2535BB5E}" destId="{71A524EF-CF2A-4389-9E6D-38C4BF488BEB}" srcOrd="0" destOrd="0" presId="urn:microsoft.com/office/officeart/2005/8/layout/hierarchy4"/>
    <dgm:cxn modelId="{293BFDEA-7992-4870-81B0-9F08B44E6077}" srcId="{AA697604-C478-4F1E-8F6D-B3BEDA9CB7D3}" destId="{B9C81330-5E96-4E38-AC40-9E5A2535BB5E}" srcOrd="0" destOrd="0" parTransId="{EE820B9A-3A3B-480F-A69F-5818B01AA575}" sibTransId="{09D41AF4-1852-45D1-A1BF-6C726FF635C6}"/>
    <dgm:cxn modelId="{778E56C7-6F51-4BA8-87B7-E812103EFE18}" srcId="{B9C81330-5E96-4E38-AC40-9E5A2535BB5E}" destId="{973C2183-0EC8-4B4A-B0A9-5568B85CF3E1}" srcOrd="0" destOrd="0" parTransId="{9DEC4223-7F77-4316-824E-DC0E4BBBF5C5}" sibTransId="{EB204A8D-D925-431B-910A-E19DE7A0E349}"/>
    <dgm:cxn modelId="{4F79D5DB-DA4C-4777-95EF-CA0C8A75F45A}" type="presOf" srcId="{AA697604-C478-4F1E-8F6D-B3BEDA9CB7D3}" destId="{D4809ED6-FE51-40CE-A0B1-B9D3E5C73738}" srcOrd="0" destOrd="0" presId="urn:microsoft.com/office/officeart/2005/8/layout/hierarchy4"/>
    <dgm:cxn modelId="{8324872F-1829-4658-B8C7-3E3C0A8C2592}" type="presOf" srcId="{4BBF351A-A50C-45D7-926B-B6C485419C41}" destId="{A84B1B29-D7A4-4C19-991A-D559599B8E93}" srcOrd="0" destOrd="0" presId="urn:microsoft.com/office/officeart/2005/8/layout/hierarchy4"/>
    <dgm:cxn modelId="{96816D25-D095-4A56-8E49-69FA0EF8354A}" srcId="{B9C81330-5E96-4E38-AC40-9E5A2535BB5E}" destId="{7A231803-E0F5-4D13-8F06-6311A938E020}" srcOrd="1" destOrd="0" parTransId="{ADD9EC11-710D-423D-B141-72E5A4E00C78}" sibTransId="{8140D8DC-4C5A-42BA-B119-2A0A47864A42}"/>
    <dgm:cxn modelId="{3EB762AA-024C-4965-BC40-29463612395C}" type="presOf" srcId="{7A231803-E0F5-4D13-8F06-6311A938E020}" destId="{98297560-EC98-44E8-A579-B70955B8F8B6}" srcOrd="0" destOrd="0" presId="urn:microsoft.com/office/officeart/2005/8/layout/hierarchy4"/>
    <dgm:cxn modelId="{A71C47F4-F8F0-4F4E-8DF6-E0436A603F2E}" type="presOf" srcId="{973C2183-0EC8-4B4A-B0A9-5568B85CF3E1}" destId="{EE169B56-A644-4B09-ACC7-936DDC0A91E6}" srcOrd="0" destOrd="0" presId="urn:microsoft.com/office/officeart/2005/8/layout/hierarchy4"/>
    <dgm:cxn modelId="{67C59CEC-971D-4FD5-9551-E933BD44AF18}" type="presParOf" srcId="{D4809ED6-FE51-40CE-A0B1-B9D3E5C73738}" destId="{C5B861C7-C994-4A72-8A69-866ADF82C84E}" srcOrd="0" destOrd="0" presId="urn:microsoft.com/office/officeart/2005/8/layout/hierarchy4"/>
    <dgm:cxn modelId="{4954D1F9-3148-4C20-8C88-35DFB3D4677E}" type="presParOf" srcId="{C5B861C7-C994-4A72-8A69-866ADF82C84E}" destId="{71A524EF-CF2A-4389-9E6D-38C4BF488BEB}" srcOrd="0" destOrd="0" presId="urn:microsoft.com/office/officeart/2005/8/layout/hierarchy4"/>
    <dgm:cxn modelId="{727C44AD-6854-4D48-90F9-DE5C2818635F}" type="presParOf" srcId="{C5B861C7-C994-4A72-8A69-866ADF82C84E}" destId="{E44F8DC6-8329-4BC6-91F2-1B133AB56689}" srcOrd="1" destOrd="0" presId="urn:microsoft.com/office/officeart/2005/8/layout/hierarchy4"/>
    <dgm:cxn modelId="{63E93287-ACC9-473D-B030-5F4D8533474A}" type="presParOf" srcId="{C5B861C7-C994-4A72-8A69-866ADF82C84E}" destId="{72AFDCA6-06CB-4CE0-9D3B-9FB69A93F481}" srcOrd="2" destOrd="0" presId="urn:microsoft.com/office/officeart/2005/8/layout/hierarchy4"/>
    <dgm:cxn modelId="{441F0873-E12B-475B-BDF1-F20082A6113A}" type="presParOf" srcId="{72AFDCA6-06CB-4CE0-9D3B-9FB69A93F481}" destId="{3F2111BC-A77B-42ED-9F50-2E1A0560D9F1}" srcOrd="0" destOrd="0" presId="urn:microsoft.com/office/officeart/2005/8/layout/hierarchy4"/>
    <dgm:cxn modelId="{BCB120A1-85F3-464C-91D7-78BB63A316DE}" type="presParOf" srcId="{3F2111BC-A77B-42ED-9F50-2E1A0560D9F1}" destId="{EE169B56-A644-4B09-ACC7-936DDC0A91E6}" srcOrd="0" destOrd="0" presId="urn:microsoft.com/office/officeart/2005/8/layout/hierarchy4"/>
    <dgm:cxn modelId="{1FA9A385-8817-4286-A2F8-4E09966F2E7C}" type="presParOf" srcId="{3F2111BC-A77B-42ED-9F50-2E1A0560D9F1}" destId="{6DB6FA58-2A47-4F8A-9671-AC0AAB38BC82}" srcOrd="1" destOrd="0" presId="urn:microsoft.com/office/officeart/2005/8/layout/hierarchy4"/>
    <dgm:cxn modelId="{6FD1F484-8422-491E-AD04-426B16A5B3CE}" type="presParOf" srcId="{72AFDCA6-06CB-4CE0-9D3B-9FB69A93F481}" destId="{83A83DC1-4143-438F-AA28-718F8EEFC778}" srcOrd="1" destOrd="0" presId="urn:microsoft.com/office/officeart/2005/8/layout/hierarchy4"/>
    <dgm:cxn modelId="{0EA73F5D-9A15-43C2-80AC-B981F5275271}" type="presParOf" srcId="{72AFDCA6-06CB-4CE0-9D3B-9FB69A93F481}" destId="{BA7D54BB-EBB9-4194-9C76-75484356CA87}" srcOrd="2" destOrd="0" presId="urn:microsoft.com/office/officeart/2005/8/layout/hierarchy4"/>
    <dgm:cxn modelId="{284F63BF-9999-431A-AC2C-6FCC921E04F0}" type="presParOf" srcId="{BA7D54BB-EBB9-4194-9C76-75484356CA87}" destId="{98297560-EC98-44E8-A579-B70955B8F8B6}" srcOrd="0" destOrd="0" presId="urn:microsoft.com/office/officeart/2005/8/layout/hierarchy4"/>
    <dgm:cxn modelId="{774D0EC9-2919-4DDB-9DA0-D2057B5E7F31}" type="presParOf" srcId="{BA7D54BB-EBB9-4194-9C76-75484356CA87}" destId="{F27D8432-3B41-4DA1-9901-27C35620EA2A}" srcOrd="1" destOrd="0" presId="urn:microsoft.com/office/officeart/2005/8/layout/hierarchy4"/>
    <dgm:cxn modelId="{D630F19B-C485-48E3-AF4D-4FDA2024B1C3}" type="presParOf" srcId="{72AFDCA6-06CB-4CE0-9D3B-9FB69A93F481}" destId="{D02283B8-43D7-4756-86DF-40D3F615D87A}" srcOrd="3" destOrd="0" presId="urn:microsoft.com/office/officeart/2005/8/layout/hierarchy4"/>
    <dgm:cxn modelId="{A4B6EDBE-10BE-4850-9EFE-766BC65F37EB}" type="presParOf" srcId="{72AFDCA6-06CB-4CE0-9D3B-9FB69A93F481}" destId="{E41D4898-3765-4FF2-9B8F-E3434CF0CC26}" srcOrd="4" destOrd="0" presId="urn:microsoft.com/office/officeart/2005/8/layout/hierarchy4"/>
    <dgm:cxn modelId="{13CF21C9-0274-410F-82D7-A8B2D05D64FC}" type="presParOf" srcId="{E41D4898-3765-4FF2-9B8F-E3434CF0CC26}" destId="{A84B1B29-D7A4-4C19-991A-D559599B8E93}" srcOrd="0" destOrd="0" presId="urn:microsoft.com/office/officeart/2005/8/layout/hierarchy4"/>
    <dgm:cxn modelId="{164CAF86-3552-4159-9DA4-FBA01E1A839D}" type="presParOf" srcId="{E41D4898-3765-4FF2-9B8F-E3434CF0CC26}" destId="{C2D13388-0F74-4332-9DCA-5C9724915E4F}" srcOrd="1" destOrd="0" presId="urn:microsoft.com/office/officeart/2005/8/layout/hierarchy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A524EF-CF2A-4389-9E6D-38C4BF488BEB}">
      <dsp:nvSpPr>
        <dsp:cNvPr id="0" name=""/>
        <dsp:cNvSpPr/>
      </dsp:nvSpPr>
      <dsp:spPr>
        <a:xfrm>
          <a:off x="948" y="298"/>
          <a:ext cx="2636528" cy="2963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Pollutant Linkage</a:t>
          </a:r>
        </a:p>
      </dsp:txBody>
      <dsp:txXfrm>
        <a:off x="9629" y="8979"/>
        <a:ext cx="2619166" cy="279030"/>
      </dsp:txXfrm>
    </dsp:sp>
    <dsp:sp modelId="{EE169B56-A644-4B09-ACC7-936DDC0A91E6}">
      <dsp:nvSpPr>
        <dsp:cNvPr id="0" name=""/>
        <dsp:cNvSpPr/>
      </dsp:nvSpPr>
      <dsp:spPr>
        <a:xfrm>
          <a:off x="3521" y="380522"/>
          <a:ext cx="830612" cy="95267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t>Contaminant</a:t>
          </a:r>
          <a:r>
            <a:rPr lang="en-GB" sz="800" kern="1200"/>
            <a:t> - a substance with the potential to cause harm or pollution</a:t>
          </a:r>
        </a:p>
      </dsp:txBody>
      <dsp:txXfrm>
        <a:off x="27849" y="404850"/>
        <a:ext cx="781956" cy="904023"/>
      </dsp:txXfrm>
    </dsp:sp>
    <dsp:sp modelId="{98297560-EC98-44E8-A579-B70955B8F8B6}">
      <dsp:nvSpPr>
        <dsp:cNvPr id="0" name=""/>
        <dsp:cNvSpPr/>
      </dsp:nvSpPr>
      <dsp:spPr>
        <a:xfrm>
          <a:off x="903906" y="380522"/>
          <a:ext cx="830612" cy="95267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t>Receptor</a:t>
          </a:r>
          <a:r>
            <a:rPr lang="en-GB" sz="800" kern="1200"/>
            <a:t> - something that could be adversely harmed by a contaminant</a:t>
          </a:r>
        </a:p>
      </dsp:txBody>
      <dsp:txXfrm>
        <a:off x="928234" y="404850"/>
        <a:ext cx="781956" cy="904023"/>
      </dsp:txXfrm>
    </dsp:sp>
    <dsp:sp modelId="{A84B1B29-D7A4-4C19-991A-D559599B8E93}">
      <dsp:nvSpPr>
        <dsp:cNvPr id="0" name=""/>
        <dsp:cNvSpPr/>
      </dsp:nvSpPr>
      <dsp:spPr>
        <a:xfrm>
          <a:off x="1804290" y="380522"/>
          <a:ext cx="830612" cy="95267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t>Pathway</a:t>
          </a:r>
          <a:r>
            <a:rPr lang="en-GB" sz="800" kern="1200"/>
            <a:t> - a route or means by which a receptor could be adversely affected by a contaminant.</a:t>
          </a:r>
        </a:p>
      </dsp:txBody>
      <dsp:txXfrm>
        <a:off x="1828618" y="404850"/>
        <a:ext cx="781956" cy="9040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A524EF-CF2A-4389-9E6D-38C4BF488BEB}">
      <dsp:nvSpPr>
        <dsp:cNvPr id="0" name=""/>
        <dsp:cNvSpPr/>
      </dsp:nvSpPr>
      <dsp:spPr>
        <a:xfrm>
          <a:off x="948" y="923"/>
          <a:ext cx="2636528" cy="25561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The Risk Management Process</a:t>
          </a:r>
        </a:p>
      </dsp:txBody>
      <dsp:txXfrm>
        <a:off x="8435" y="8410"/>
        <a:ext cx="2621554" cy="240643"/>
      </dsp:txXfrm>
    </dsp:sp>
    <dsp:sp modelId="{EE169B56-A644-4B09-ACC7-936DDC0A91E6}">
      <dsp:nvSpPr>
        <dsp:cNvPr id="0" name=""/>
        <dsp:cNvSpPr/>
      </dsp:nvSpPr>
      <dsp:spPr>
        <a:xfrm>
          <a:off x="3521" y="339507"/>
          <a:ext cx="830612" cy="82161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t>Risk assessment </a:t>
          </a:r>
          <a:r>
            <a:rPr lang="en-GB" sz="800" kern="1200"/>
            <a:t>to identify risks and control measures</a:t>
          </a:r>
        </a:p>
      </dsp:txBody>
      <dsp:txXfrm>
        <a:off x="27585" y="363571"/>
        <a:ext cx="782484" cy="773490"/>
      </dsp:txXfrm>
    </dsp:sp>
    <dsp:sp modelId="{98297560-EC98-44E8-A579-B70955B8F8B6}">
      <dsp:nvSpPr>
        <dsp:cNvPr id="0" name=""/>
        <dsp:cNvSpPr/>
      </dsp:nvSpPr>
      <dsp:spPr>
        <a:xfrm>
          <a:off x="903906" y="339507"/>
          <a:ext cx="830612" cy="82161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kern="1200"/>
            <a:t>Options appraisal </a:t>
          </a:r>
          <a:r>
            <a:rPr lang="en-GB" sz="800" kern="1200"/>
            <a:t>to determine remediation strategy</a:t>
          </a:r>
        </a:p>
      </dsp:txBody>
      <dsp:txXfrm>
        <a:off x="927970" y="363571"/>
        <a:ext cx="782484" cy="773490"/>
      </dsp:txXfrm>
    </dsp:sp>
    <dsp:sp modelId="{A84B1B29-D7A4-4C19-991A-D559599B8E93}">
      <dsp:nvSpPr>
        <dsp:cNvPr id="0" name=""/>
        <dsp:cNvSpPr/>
      </dsp:nvSpPr>
      <dsp:spPr>
        <a:xfrm>
          <a:off x="1804290" y="339507"/>
          <a:ext cx="830612" cy="82161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1" i="0" kern="1200"/>
            <a:t>Implementation</a:t>
          </a:r>
          <a:r>
            <a:rPr lang="en-GB" sz="800" kern="1200"/>
            <a:t> of remediation strategy</a:t>
          </a:r>
        </a:p>
      </dsp:txBody>
      <dsp:txXfrm>
        <a:off x="1828354" y="363571"/>
        <a:ext cx="782484" cy="77349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A524EF-CF2A-4389-9E6D-38C4BF488BEB}">
      <dsp:nvSpPr>
        <dsp:cNvPr id="0" name=""/>
        <dsp:cNvSpPr/>
      </dsp:nvSpPr>
      <dsp:spPr>
        <a:xfrm>
          <a:off x="948" y="208"/>
          <a:ext cx="2636528" cy="287428"/>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Model Procedures for Land Contamination</a:t>
          </a:r>
        </a:p>
      </dsp:txBody>
      <dsp:txXfrm>
        <a:off x="9366" y="8626"/>
        <a:ext cx="2619692" cy="270592"/>
      </dsp:txXfrm>
    </dsp:sp>
    <dsp:sp modelId="{EE169B56-A644-4B09-ACC7-936DDC0A91E6}">
      <dsp:nvSpPr>
        <dsp:cNvPr id="0" name=""/>
        <dsp:cNvSpPr/>
      </dsp:nvSpPr>
      <dsp:spPr>
        <a:xfrm>
          <a:off x="3521" y="371324"/>
          <a:ext cx="830612" cy="923866"/>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0" kern="1200"/>
            <a:t>1. Preliminary Risk Assessment</a:t>
          </a:r>
        </a:p>
      </dsp:txBody>
      <dsp:txXfrm>
        <a:off x="27849" y="395652"/>
        <a:ext cx="781956" cy="875210"/>
      </dsp:txXfrm>
    </dsp:sp>
    <dsp:sp modelId="{98297560-EC98-44E8-A579-B70955B8F8B6}">
      <dsp:nvSpPr>
        <dsp:cNvPr id="0" name=""/>
        <dsp:cNvSpPr/>
      </dsp:nvSpPr>
      <dsp:spPr>
        <a:xfrm>
          <a:off x="903906" y="371324"/>
          <a:ext cx="830612" cy="923866"/>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2. Generic Quantitive Risk Assessment</a:t>
          </a:r>
        </a:p>
      </dsp:txBody>
      <dsp:txXfrm>
        <a:off x="928234" y="395652"/>
        <a:ext cx="781956" cy="875210"/>
      </dsp:txXfrm>
    </dsp:sp>
    <dsp:sp modelId="{A84B1B29-D7A4-4C19-991A-D559599B8E93}">
      <dsp:nvSpPr>
        <dsp:cNvPr id="0" name=""/>
        <dsp:cNvSpPr/>
      </dsp:nvSpPr>
      <dsp:spPr>
        <a:xfrm>
          <a:off x="1804290" y="371324"/>
          <a:ext cx="830612" cy="923866"/>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b="0" i="0" kern="1200"/>
            <a:t>3. Detailed Quantitative Risk Assessment</a:t>
          </a:r>
          <a:endParaRPr lang="en-GB" sz="800" b="0" kern="1200"/>
        </a:p>
      </dsp:txBody>
      <dsp:txXfrm>
        <a:off x="1828618" y="395652"/>
        <a:ext cx="781956" cy="87521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C940599-0810-48B0-A571-42D1B5878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2774</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Wamitab</Company>
  <LinksUpToDate>false</LinksUpToDate>
  <CharactersWithSpaces>18552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Kemp</dc:creator>
  <cp:lastModifiedBy>Sophie Howard</cp:lastModifiedBy>
  <cp:revision>2</cp:revision>
  <cp:lastPrinted>2018-11-07T09:57:00Z</cp:lastPrinted>
  <dcterms:created xsi:type="dcterms:W3CDTF">2019-02-18T16:15:00Z</dcterms:created>
  <dcterms:modified xsi:type="dcterms:W3CDTF">2019-02-18T16:15:00Z</dcterms:modified>
</cp:coreProperties>
</file>