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3D" w:rsidRDefault="00E57C78" w:rsidP="00A6136C">
      <w:pPr>
        <w:spacing w:before="240" w:after="0"/>
        <w:rPr>
          <w:b/>
          <w:color w:val="7030A0"/>
          <w:sz w:val="24"/>
        </w:rPr>
      </w:pPr>
      <w:r>
        <w:rPr>
          <w:b/>
          <w:color w:val="7030A0"/>
          <w:sz w:val="24"/>
        </w:rPr>
        <w:t>Environmental Protection</w:t>
      </w:r>
    </w:p>
    <w:p w:rsidR="00A6136C" w:rsidRDefault="00A6136C" w:rsidP="00A6136C">
      <w:pPr>
        <w:spacing w:after="0"/>
        <w:rPr>
          <w:b/>
        </w:rPr>
      </w:pPr>
      <w:r>
        <w:rPr>
          <w:b/>
        </w:rPr>
        <w:t>Content Changes 2016-2018 Revision Guide</w:t>
      </w:r>
    </w:p>
    <w:p w:rsidR="006B39C9" w:rsidRPr="006B39C9" w:rsidRDefault="006B39C9" w:rsidP="006B39C9">
      <w:pPr>
        <w:spacing w:after="0"/>
        <w:rPr>
          <w:rFonts w:ascii="Calibri" w:eastAsia="Calibri" w:hAnsi="Calibri" w:cs="Times New Roman"/>
          <w:b/>
          <w:i/>
        </w:rPr>
      </w:pPr>
      <w:r w:rsidRPr="006B39C9">
        <w:rPr>
          <w:rFonts w:ascii="Calibri" w:eastAsia="Calibri" w:hAnsi="Calibri" w:cs="Times New Roman"/>
          <w:b/>
          <w:i/>
        </w:rPr>
        <w:t xml:space="preserve">All page numbers refer to the 2016-2018 Revision Guides with red covers. </w:t>
      </w:r>
    </w:p>
    <w:p w:rsidR="006B39C9" w:rsidRDefault="006B39C9" w:rsidP="00A6136C">
      <w:pPr>
        <w:spacing w:after="0"/>
        <w:rPr>
          <w:b/>
        </w:rPr>
      </w:pPr>
    </w:p>
    <w:p w:rsidR="008A2290" w:rsidRDefault="008A2290" w:rsidP="008A2290">
      <w:pPr>
        <w:rPr>
          <w:i/>
          <w:color w:val="7030A0"/>
        </w:rPr>
      </w:pPr>
      <w:r>
        <w:rPr>
          <w:i/>
          <w:color w:val="7030A0"/>
        </w:rPr>
        <w:t xml:space="preserve">Section 1: </w:t>
      </w:r>
      <w:r w:rsidR="00E57C78">
        <w:rPr>
          <w:i/>
          <w:color w:val="7030A0"/>
        </w:rPr>
        <w:t>Appropriate Measures, page 15</w:t>
      </w:r>
    </w:p>
    <w:p w:rsidR="00E57C78" w:rsidRDefault="00E57C78" w:rsidP="00972763">
      <w:pPr>
        <w:rPr>
          <w:spacing w:val="-2"/>
          <w:szCs w:val="20"/>
        </w:rPr>
      </w:pPr>
      <w:r>
        <w:t xml:space="preserve">Learning outcomes 1.3 now states </w:t>
      </w:r>
      <w:r w:rsidR="00EF221F" w:rsidRPr="00EF221F">
        <w:rPr>
          <w:i/>
          <w:color w:val="7030A0"/>
        </w:rPr>
        <w:t>‘</w:t>
      </w:r>
      <w:r w:rsidRPr="00EF221F">
        <w:rPr>
          <w:i/>
          <w:color w:val="7030A0"/>
          <w:szCs w:val="24"/>
        </w:rPr>
        <w:t xml:space="preserve">Know </w:t>
      </w:r>
      <w:r w:rsidRPr="00EF221F">
        <w:rPr>
          <w:i/>
          <w:color w:val="7030A0"/>
          <w:spacing w:val="-2"/>
          <w:szCs w:val="20"/>
        </w:rPr>
        <w:t>what is meant by the term ‘appropriate measures’ and how they relate to the objectives for managing environmental risks within permits and regulator guidance</w:t>
      </w:r>
      <w:r w:rsidR="00EF221F" w:rsidRPr="00EF221F">
        <w:rPr>
          <w:i/>
          <w:color w:val="7030A0"/>
          <w:spacing w:val="-2"/>
          <w:szCs w:val="20"/>
        </w:rPr>
        <w:t>’</w:t>
      </w:r>
      <w:r w:rsidRPr="00EF221F">
        <w:rPr>
          <w:i/>
          <w:color w:val="7030A0"/>
          <w:spacing w:val="-2"/>
          <w:szCs w:val="20"/>
        </w:rPr>
        <w:t>.</w:t>
      </w:r>
    </w:p>
    <w:p w:rsidR="00E57C78" w:rsidRDefault="00E57C78" w:rsidP="00E57C78">
      <w:r>
        <w:t>Most permit conditions are objective-based and it is up to the operator how they meet an objective.</w:t>
      </w:r>
    </w:p>
    <w:p w:rsidR="00E57C78" w:rsidRDefault="00E57C78" w:rsidP="00E57C78">
      <w:r>
        <w:t>Permit conditions are more prescriptive if there is a high risk posed by an operator</w:t>
      </w:r>
      <w:r w:rsidR="00B41CC1">
        <w:t>’</w:t>
      </w:r>
      <w:r>
        <w:t>s activity or site that needs to be controlled. In these cases, the condition will:</w:t>
      </w:r>
    </w:p>
    <w:p w:rsidR="00E57C78" w:rsidRDefault="00E57C78" w:rsidP="00E57C78">
      <w:pPr>
        <w:pStyle w:val="ListParagraph"/>
        <w:numPr>
          <w:ilvl w:val="0"/>
          <w:numId w:val="5"/>
        </w:numPr>
        <w:spacing w:line="240" w:lineRule="auto"/>
      </w:pPr>
      <w:r>
        <w:t>State the equipment to use.</w:t>
      </w:r>
    </w:p>
    <w:p w:rsidR="00E57C78" w:rsidRDefault="00E57C78" w:rsidP="00E57C78">
      <w:pPr>
        <w:pStyle w:val="ListParagraph"/>
        <w:numPr>
          <w:ilvl w:val="0"/>
          <w:numId w:val="5"/>
        </w:numPr>
        <w:spacing w:line="240" w:lineRule="auto"/>
      </w:pPr>
      <w:r>
        <w:t>Define specific emission limits.</w:t>
      </w:r>
    </w:p>
    <w:p w:rsidR="00E57C78" w:rsidRPr="000C4D0E" w:rsidRDefault="00E57C78" w:rsidP="00E57C78">
      <w:pPr>
        <w:pStyle w:val="ListParagraph"/>
        <w:numPr>
          <w:ilvl w:val="0"/>
          <w:numId w:val="5"/>
        </w:numPr>
        <w:spacing w:line="240" w:lineRule="auto"/>
      </w:pPr>
      <w:r>
        <w:t>Require a regulator approved plan to be implemented.</w:t>
      </w:r>
    </w:p>
    <w:p w:rsidR="00E57C78" w:rsidRDefault="00E57C78" w:rsidP="00E57C78">
      <w:pPr>
        <w:rPr>
          <w:i/>
          <w:color w:val="7030A0"/>
        </w:rPr>
      </w:pPr>
      <w:r w:rsidRPr="00E57C78">
        <w:rPr>
          <w:i/>
          <w:color w:val="7030A0"/>
        </w:rPr>
        <w:t xml:space="preserve">Section </w:t>
      </w:r>
      <w:r>
        <w:rPr>
          <w:i/>
          <w:color w:val="7030A0"/>
        </w:rPr>
        <w:t>2</w:t>
      </w:r>
      <w:r w:rsidRPr="00E57C78">
        <w:rPr>
          <w:i/>
          <w:color w:val="7030A0"/>
        </w:rPr>
        <w:t xml:space="preserve">: </w:t>
      </w:r>
      <w:r>
        <w:rPr>
          <w:i/>
          <w:color w:val="7030A0"/>
        </w:rPr>
        <w:t>Controlling Nuisances, page 20</w:t>
      </w:r>
    </w:p>
    <w:p w:rsidR="00E57C78" w:rsidRDefault="00E57C78" w:rsidP="00E57C78">
      <w:pPr>
        <w:spacing w:line="240" w:lineRule="auto"/>
      </w:pPr>
      <w:r>
        <w:t>Additional appropriate measures to control dust, mud and litter include:</w:t>
      </w:r>
    </w:p>
    <w:p w:rsidR="00E57C78" w:rsidRDefault="00E57C78" w:rsidP="00E57C78">
      <w:pPr>
        <w:pStyle w:val="ListParagraph"/>
        <w:numPr>
          <w:ilvl w:val="0"/>
          <w:numId w:val="6"/>
        </w:numPr>
      </w:pPr>
      <w:r>
        <w:t>Regularly clean</w:t>
      </w:r>
      <w:r w:rsidR="00565A44">
        <w:t>ing</w:t>
      </w:r>
      <w:r>
        <w:t xml:space="preserve"> and dampen</w:t>
      </w:r>
      <w:r w:rsidR="00565A44">
        <w:t>ing</w:t>
      </w:r>
      <w:r>
        <w:t xml:space="preserve"> roadways.</w:t>
      </w:r>
    </w:p>
    <w:p w:rsidR="00E57C78" w:rsidRDefault="00E57C78" w:rsidP="00E57C78">
      <w:pPr>
        <w:pStyle w:val="ListParagraph"/>
        <w:numPr>
          <w:ilvl w:val="0"/>
          <w:numId w:val="6"/>
        </w:numPr>
      </w:pPr>
      <w:r>
        <w:t>Plant</w:t>
      </w:r>
      <w:r w:rsidR="00565A44">
        <w:t>ing</w:t>
      </w:r>
      <w:r>
        <w:t xml:space="preserve"> grass and trees on open ground.</w:t>
      </w:r>
    </w:p>
    <w:p w:rsidR="00E57C78" w:rsidRPr="00942823" w:rsidRDefault="00565A44" w:rsidP="00E57C78">
      <w:pPr>
        <w:pStyle w:val="ListParagraph"/>
        <w:numPr>
          <w:ilvl w:val="0"/>
          <w:numId w:val="6"/>
        </w:numPr>
      </w:pPr>
      <w:r>
        <w:rPr>
          <w:noProof/>
          <w:lang w:eastAsia="en-GB"/>
        </w:rPr>
        <w:drawing>
          <wp:anchor distT="0" distB="0" distL="114300" distR="114300" simplePos="0" relativeHeight="251659264" behindDoc="1" locked="0" layoutInCell="1" allowOverlap="1" wp14:anchorId="227E1217" wp14:editId="5988B274">
            <wp:simplePos x="0" y="0"/>
            <wp:positionH relativeFrom="column">
              <wp:posOffset>2819401</wp:posOffset>
            </wp:positionH>
            <wp:positionV relativeFrom="paragraph">
              <wp:posOffset>233679</wp:posOffset>
            </wp:positionV>
            <wp:extent cx="3068066" cy="2085543"/>
            <wp:effectExtent l="323850" t="304800" r="361315" b="334010"/>
            <wp:wrapNone/>
            <wp:docPr id="7" name="Picture 7" descr="\\WamFS1.wamitab.local\TSHome$\Helen\Documents\My Pictures\istock pics\shutterstock_93467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mFS1.wamitab.local\TSHome$\Helen\Documents\My Pictures\istock pics\shutterstock_9346729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8645" cy="2085937"/>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r w:rsidR="00E57C78">
        <w:t>Us</w:t>
      </w:r>
      <w:r>
        <w:t>ing</w:t>
      </w:r>
      <w:r w:rsidR="00E57C78">
        <w:t xml:space="preserve"> water-filled troughs.</w:t>
      </w:r>
    </w:p>
    <w:p w:rsidR="00E57C78" w:rsidRPr="00E57C78" w:rsidRDefault="00E57C78" w:rsidP="00E57C78">
      <w:pPr>
        <w:rPr>
          <w:i/>
          <w:color w:val="7030A0"/>
        </w:rPr>
      </w:pPr>
      <w:r w:rsidRPr="00E57C78">
        <w:rPr>
          <w:i/>
          <w:color w:val="7030A0"/>
        </w:rPr>
        <w:t xml:space="preserve">Section 2: </w:t>
      </w:r>
      <w:r>
        <w:rPr>
          <w:i/>
          <w:color w:val="7030A0"/>
        </w:rPr>
        <w:t>Noise Prevention</w:t>
      </w:r>
      <w:r w:rsidRPr="00E57C78">
        <w:rPr>
          <w:i/>
          <w:color w:val="7030A0"/>
        </w:rPr>
        <w:t>, page 2</w:t>
      </w:r>
      <w:r>
        <w:rPr>
          <w:i/>
          <w:color w:val="7030A0"/>
        </w:rPr>
        <w:t>1</w:t>
      </w:r>
    </w:p>
    <w:p w:rsidR="00E57C78" w:rsidRPr="00C93CC4" w:rsidRDefault="00E57C78" w:rsidP="00E57C78">
      <w:pPr>
        <w:spacing w:line="240" w:lineRule="auto"/>
      </w:pPr>
      <w:r w:rsidRPr="00C93CC4">
        <w:t>Additional appropriate measures to reduce noise problems include:</w:t>
      </w:r>
    </w:p>
    <w:p w:rsidR="00E57C78" w:rsidRPr="00C93CC4" w:rsidRDefault="00E57C78" w:rsidP="00E57C78">
      <w:pPr>
        <w:pStyle w:val="ListParagraph"/>
        <w:numPr>
          <w:ilvl w:val="0"/>
          <w:numId w:val="7"/>
        </w:numPr>
      </w:pPr>
      <w:r w:rsidRPr="00C93CC4">
        <w:t>Consider</w:t>
      </w:r>
      <w:r w:rsidR="00A57AF7">
        <w:t>ing</w:t>
      </w:r>
      <w:r w:rsidRPr="00C93CC4">
        <w:t xml:space="preserve"> noise levels when designing the plant.</w:t>
      </w:r>
    </w:p>
    <w:p w:rsidR="00E57C78" w:rsidRPr="00C93CC4" w:rsidRDefault="00E57C78" w:rsidP="00E57C78">
      <w:pPr>
        <w:pStyle w:val="ListParagraph"/>
        <w:numPr>
          <w:ilvl w:val="0"/>
          <w:numId w:val="7"/>
        </w:numPr>
      </w:pPr>
      <w:r w:rsidRPr="00C93CC4">
        <w:t>Consider</w:t>
      </w:r>
      <w:r w:rsidR="00A57AF7">
        <w:t>ing</w:t>
      </w:r>
      <w:r w:rsidRPr="00C93CC4">
        <w:t xml:space="preserve"> the maintenance and operation plans for the plant.</w:t>
      </w:r>
    </w:p>
    <w:p w:rsidR="00E57C78" w:rsidRPr="00C93CC4" w:rsidRDefault="00E57C78" w:rsidP="00E57C78">
      <w:pPr>
        <w:pStyle w:val="ListParagraph"/>
        <w:numPr>
          <w:ilvl w:val="0"/>
          <w:numId w:val="7"/>
        </w:numPr>
      </w:pPr>
      <w:r w:rsidRPr="00C93CC4">
        <w:t>Us</w:t>
      </w:r>
      <w:r w:rsidR="00655B8E">
        <w:t>ing</w:t>
      </w:r>
      <w:r w:rsidRPr="00C93CC4">
        <w:t xml:space="preserve"> noise reduction equipment, enclosure or abatement.</w:t>
      </w:r>
    </w:p>
    <w:p w:rsidR="00A7727F" w:rsidRDefault="00A7727F" w:rsidP="00E57C78"/>
    <w:p w:rsidR="00E57C78" w:rsidRDefault="00E57C78" w:rsidP="00E57C78">
      <w:r w:rsidRPr="00E57C78">
        <w:t xml:space="preserve">The noise generated in mechanical plant by moving or rotating parts can increase overtime as these parts tend to wear. </w:t>
      </w:r>
    </w:p>
    <w:p w:rsidR="00E57C78" w:rsidRPr="00E57C78" w:rsidRDefault="00E57C78" w:rsidP="00E57C78">
      <w:r w:rsidRPr="00E57C78">
        <w:t>This noise can be minimised through efficient maintenance.</w:t>
      </w:r>
    </w:p>
    <w:p w:rsidR="00E57C78" w:rsidRDefault="00E57C78" w:rsidP="00E57C78">
      <w:pPr>
        <w:rPr>
          <w:i/>
          <w:color w:val="7030A0"/>
        </w:rPr>
      </w:pPr>
      <w:r w:rsidRPr="00E57C78">
        <w:rPr>
          <w:i/>
          <w:color w:val="7030A0"/>
        </w:rPr>
        <w:t xml:space="preserve">Section 2: </w:t>
      </w:r>
      <w:r>
        <w:rPr>
          <w:i/>
          <w:color w:val="7030A0"/>
        </w:rPr>
        <w:t>Recording Measures Used</w:t>
      </w:r>
      <w:r w:rsidRPr="00E57C78">
        <w:rPr>
          <w:i/>
          <w:color w:val="7030A0"/>
        </w:rPr>
        <w:t>, page 2</w:t>
      </w:r>
      <w:r>
        <w:rPr>
          <w:i/>
          <w:color w:val="7030A0"/>
        </w:rPr>
        <w:t>2</w:t>
      </w:r>
    </w:p>
    <w:p w:rsidR="00E57C78" w:rsidRDefault="00E57C78" w:rsidP="00E57C78">
      <w:pPr>
        <w:pStyle w:val="ListParagraph"/>
        <w:numPr>
          <w:ilvl w:val="0"/>
          <w:numId w:val="8"/>
        </w:numPr>
      </w:pPr>
      <w:r>
        <w:t>The operator needs to identify all control measures used to manage emissions from activities in their written management system.</w:t>
      </w:r>
    </w:p>
    <w:p w:rsidR="00E57C78" w:rsidRPr="0091121A" w:rsidRDefault="00E57C78" w:rsidP="00E57C78">
      <w:pPr>
        <w:pStyle w:val="ListParagraph"/>
        <w:numPr>
          <w:ilvl w:val="0"/>
          <w:numId w:val="8"/>
        </w:numPr>
      </w:pPr>
      <w:r>
        <w:t>The operator must list these measures and contingency plans for emissions, odour, noise and vibration or pests in their written management system or procedures.</w:t>
      </w:r>
    </w:p>
    <w:p w:rsidR="00E57C78" w:rsidRPr="00E57C78" w:rsidRDefault="00E57C78" w:rsidP="00E57C78">
      <w:pPr>
        <w:rPr>
          <w:i/>
          <w:color w:val="7030A0"/>
        </w:rPr>
      </w:pPr>
      <w:r w:rsidRPr="00E57C78">
        <w:rPr>
          <w:i/>
          <w:color w:val="7030A0"/>
        </w:rPr>
        <w:t xml:space="preserve">Section 2: </w:t>
      </w:r>
      <w:r>
        <w:rPr>
          <w:i/>
          <w:color w:val="7030A0"/>
        </w:rPr>
        <w:t>Emissions Management Plan</w:t>
      </w:r>
      <w:r w:rsidRPr="00E57C78">
        <w:rPr>
          <w:i/>
          <w:color w:val="7030A0"/>
        </w:rPr>
        <w:t>, page 2</w:t>
      </w:r>
      <w:r>
        <w:rPr>
          <w:i/>
          <w:color w:val="7030A0"/>
        </w:rPr>
        <w:t>4</w:t>
      </w:r>
    </w:p>
    <w:p w:rsidR="00E57C78" w:rsidRDefault="00E57C78" w:rsidP="00E57C78">
      <w:pPr>
        <w:spacing w:line="240" w:lineRule="auto"/>
      </w:pPr>
      <w:r>
        <w:t>An emissions management plan identifies and minimises the risks of pollution from fugitive emissions (i.e. the emission of substances not controlled by emission limits). It should be included in the written management plan for the site. The emissions management plan should be reviewed if:</w:t>
      </w:r>
    </w:p>
    <w:p w:rsidR="00E57C78" w:rsidRDefault="00E57C78" w:rsidP="00E57C78">
      <w:pPr>
        <w:pStyle w:val="ListParagraph"/>
        <w:numPr>
          <w:ilvl w:val="0"/>
          <w:numId w:val="9"/>
        </w:numPr>
        <w:spacing w:line="240" w:lineRule="auto"/>
      </w:pPr>
      <w:r>
        <w:t>Complaints are received.</w:t>
      </w:r>
    </w:p>
    <w:p w:rsidR="00E57C78" w:rsidRDefault="00E57C78" w:rsidP="00E57C78">
      <w:pPr>
        <w:pStyle w:val="ListParagraph"/>
        <w:numPr>
          <w:ilvl w:val="0"/>
          <w:numId w:val="9"/>
        </w:numPr>
        <w:spacing w:line="240" w:lineRule="auto"/>
      </w:pPr>
      <w:r>
        <w:t>New activities are introduced.</w:t>
      </w:r>
    </w:p>
    <w:p w:rsidR="00E57C78" w:rsidRDefault="00E57C78" w:rsidP="00E57C78">
      <w:pPr>
        <w:pStyle w:val="ListParagraph"/>
        <w:numPr>
          <w:ilvl w:val="0"/>
          <w:numId w:val="9"/>
        </w:numPr>
        <w:spacing w:line="240" w:lineRule="auto"/>
      </w:pPr>
      <w:r>
        <w:t>The environment changes (e.g. new residential development nearby).</w:t>
      </w:r>
    </w:p>
    <w:p w:rsidR="00212E7A" w:rsidRDefault="00212E7A" w:rsidP="00E57C78">
      <w:pPr>
        <w:rPr>
          <w:i/>
          <w:color w:val="7030A0"/>
        </w:rPr>
      </w:pPr>
    </w:p>
    <w:p w:rsidR="00212E7A" w:rsidRDefault="00212E7A" w:rsidP="00E57C78">
      <w:pPr>
        <w:rPr>
          <w:i/>
          <w:color w:val="7030A0"/>
        </w:rPr>
      </w:pPr>
    </w:p>
    <w:p w:rsidR="00212E7A" w:rsidRDefault="00212E7A" w:rsidP="00E57C78">
      <w:pPr>
        <w:rPr>
          <w:i/>
          <w:color w:val="7030A0"/>
        </w:rPr>
      </w:pPr>
    </w:p>
    <w:p w:rsidR="00212E7A" w:rsidRDefault="00212E7A" w:rsidP="00E57C78">
      <w:pPr>
        <w:rPr>
          <w:i/>
          <w:color w:val="7030A0"/>
        </w:rPr>
      </w:pPr>
    </w:p>
    <w:p w:rsidR="00212E7A" w:rsidRDefault="00212E7A" w:rsidP="00E57C78">
      <w:pPr>
        <w:rPr>
          <w:i/>
          <w:color w:val="7030A0"/>
        </w:rPr>
      </w:pPr>
    </w:p>
    <w:p w:rsidR="00212E7A" w:rsidRDefault="00212E7A" w:rsidP="00E57C78">
      <w:pPr>
        <w:rPr>
          <w:i/>
          <w:color w:val="7030A0"/>
        </w:rPr>
      </w:pPr>
    </w:p>
    <w:p w:rsidR="00212E7A" w:rsidRDefault="00212E7A" w:rsidP="00E57C78">
      <w:pPr>
        <w:rPr>
          <w:i/>
          <w:color w:val="7030A0"/>
        </w:rPr>
      </w:pPr>
    </w:p>
    <w:p w:rsidR="00932847" w:rsidRDefault="00932847" w:rsidP="00E57C78">
      <w:pPr>
        <w:rPr>
          <w:i/>
          <w:color w:val="7030A0"/>
        </w:rPr>
      </w:pPr>
    </w:p>
    <w:p w:rsidR="00E57C78" w:rsidRPr="00E57C78" w:rsidRDefault="00E57C78" w:rsidP="00E57C78">
      <w:pPr>
        <w:rPr>
          <w:i/>
          <w:color w:val="7030A0"/>
        </w:rPr>
      </w:pPr>
      <w:r w:rsidRPr="00E57C78">
        <w:rPr>
          <w:i/>
          <w:color w:val="7030A0"/>
        </w:rPr>
        <w:t xml:space="preserve">Section </w:t>
      </w:r>
      <w:r>
        <w:rPr>
          <w:i/>
          <w:color w:val="7030A0"/>
        </w:rPr>
        <w:t>3</w:t>
      </w:r>
      <w:r w:rsidRPr="00E57C78">
        <w:rPr>
          <w:i/>
          <w:color w:val="7030A0"/>
        </w:rPr>
        <w:t xml:space="preserve">: </w:t>
      </w:r>
      <w:r>
        <w:rPr>
          <w:i/>
          <w:color w:val="7030A0"/>
        </w:rPr>
        <w:t>Drainage and Secondary Containment</w:t>
      </w:r>
      <w:r w:rsidRPr="00E57C78">
        <w:rPr>
          <w:i/>
          <w:color w:val="7030A0"/>
        </w:rPr>
        <w:t>, page 2</w:t>
      </w:r>
      <w:r>
        <w:rPr>
          <w:i/>
          <w:color w:val="7030A0"/>
        </w:rPr>
        <w:t>9</w:t>
      </w:r>
    </w:p>
    <w:p w:rsidR="00E57C78" w:rsidRPr="00E57C78" w:rsidRDefault="00E57C78" w:rsidP="00E57C78">
      <w:r w:rsidRPr="00E57C78">
        <w:t>Operators must make sure that sumps and bunds do not become contaminated or blocked</w:t>
      </w:r>
      <w:r w:rsidR="001F089D">
        <w:t>,</w:t>
      </w:r>
      <w:r w:rsidRPr="00E57C78">
        <w:t xml:space="preserve"> as this may cause them to leak.</w:t>
      </w:r>
    </w:p>
    <w:p w:rsidR="00E7595A" w:rsidRDefault="00E7595A" w:rsidP="00E7595A">
      <w:pPr>
        <w:rPr>
          <w:i/>
          <w:color w:val="7030A0"/>
        </w:rPr>
      </w:pPr>
      <w:r w:rsidRPr="00E57C78">
        <w:rPr>
          <w:i/>
          <w:color w:val="7030A0"/>
        </w:rPr>
        <w:t xml:space="preserve">Section </w:t>
      </w:r>
      <w:r>
        <w:rPr>
          <w:i/>
          <w:color w:val="7030A0"/>
        </w:rPr>
        <w:t>4</w:t>
      </w:r>
      <w:r w:rsidRPr="00E57C78">
        <w:rPr>
          <w:i/>
          <w:color w:val="7030A0"/>
        </w:rPr>
        <w:t xml:space="preserve">: </w:t>
      </w:r>
      <w:r>
        <w:rPr>
          <w:i/>
          <w:color w:val="7030A0"/>
        </w:rPr>
        <w:t>Sealed Drainage Systems, page 31</w:t>
      </w:r>
    </w:p>
    <w:p w:rsidR="00E7595A" w:rsidRPr="00C93CC4" w:rsidRDefault="00E7595A" w:rsidP="00E7595A">
      <w:r w:rsidRPr="00C93CC4">
        <w:t>An operator must:</w:t>
      </w:r>
    </w:p>
    <w:p w:rsidR="00E7595A" w:rsidRPr="00C93CC4" w:rsidRDefault="00E7595A" w:rsidP="00E7595A">
      <w:pPr>
        <w:pStyle w:val="ListParagraph"/>
        <w:numPr>
          <w:ilvl w:val="0"/>
          <w:numId w:val="10"/>
        </w:numPr>
      </w:pPr>
      <w:r w:rsidRPr="00C93CC4">
        <w:t>Collect any liquid that passes through the drainage system in a sealed sump, unless they have a discharge permit.</w:t>
      </w:r>
    </w:p>
    <w:p w:rsidR="00E7595A" w:rsidRPr="00C93CC4" w:rsidRDefault="00E7595A" w:rsidP="00E7595A">
      <w:pPr>
        <w:pStyle w:val="ListParagraph"/>
        <w:numPr>
          <w:ilvl w:val="0"/>
          <w:numId w:val="10"/>
        </w:numPr>
      </w:pPr>
      <w:r w:rsidRPr="00C93CC4">
        <w:t>Dispose of collected liquid through a treatment facility or have it collected by a specialist waste disposal company.</w:t>
      </w:r>
    </w:p>
    <w:p w:rsidR="00E7595A" w:rsidRPr="00E7595A" w:rsidRDefault="00E7595A" w:rsidP="00E7595A">
      <w:r w:rsidRPr="00E7595A">
        <w:t>An operator must have a waste storage plan that includes:</w:t>
      </w:r>
    </w:p>
    <w:p w:rsidR="00E7595A" w:rsidRPr="00E7595A" w:rsidRDefault="00E7595A" w:rsidP="00E7595A">
      <w:pPr>
        <w:pStyle w:val="ListParagraph"/>
        <w:numPr>
          <w:ilvl w:val="0"/>
          <w:numId w:val="11"/>
        </w:numPr>
      </w:pPr>
      <w:r w:rsidRPr="00E7595A">
        <w:t>The maximum amount of time that waste can be stored on site.</w:t>
      </w:r>
    </w:p>
    <w:p w:rsidR="00E7595A" w:rsidRPr="00E7595A" w:rsidRDefault="00E7595A" w:rsidP="00E7595A">
      <w:pPr>
        <w:pStyle w:val="ListParagraph"/>
        <w:numPr>
          <w:ilvl w:val="0"/>
          <w:numId w:val="11"/>
        </w:numPr>
      </w:pPr>
      <w:r w:rsidRPr="00E7595A">
        <w:t>The maximum volume of waste stored on site.</w:t>
      </w:r>
    </w:p>
    <w:p w:rsidR="00E7595A" w:rsidRPr="00E7595A" w:rsidRDefault="00E7595A" w:rsidP="00E7595A">
      <w:pPr>
        <w:pStyle w:val="ListParagraph"/>
        <w:numPr>
          <w:ilvl w:val="0"/>
          <w:numId w:val="11"/>
        </w:numPr>
      </w:pPr>
      <w:r w:rsidRPr="00E7595A">
        <w:t>The maximum height of each storage pile on site.</w:t>
      </w:r>
    </w:p>
    <w:p w:rsidR="00E7595A" w:rsidRPr="00E7595A" w:rsidRDefault="00E7595A" w:rsidP="00E7595A">
      <w:pPr>
        <w:pStyle w:val="ListParagraph"/>
        <w:numPr>
          <w:ilvl w:val="0"/>
          <w:numId w:val="11"/>
        </w:numPr>
      </w:pPr>
      <w:r w:rsidRPr="00E7595A">
        <w:t>How different types of waste will be separated.</w:t>
      </w:r>
    </w:p>
    <w:p w:rsidR="00E7595A" w:rsidRPr="00E7595A" w:rsidRDefault="00E7595A" w:rsidP="00E7595A">
      <w:pPr>
        <w:rPr>
          <w:i/>
          <w:color w:val="7030A0"/>
        </w:rPr>
      </w:pPr>
      <w:r w:rsidRPr="00E7595A">
        <w:rPr>
          <w:i/>
          <w:color w:val="7030A0"/>
        </w:rPr>
        <w:t xml:space="preserve">Section </w:t>
      </w:r>
      <w:r>
        <w:rPr>
          <w:i/>
          <w:color w:val="7030A0"/>
        </w:rPr>
        <w:t>3</w:t>
      </w:r>
      <w:r w:rsidRPr="00E7595A">
        <w:rPr>
          <w:i/>
          <w:color w:val="7030A0"/>
        </w:rPr>
        <w:t xml:space="preserve">: </w:t>
      </w:r>
      <w:r>
        <w:rPr>
          <w:i/>
          <w:color w:val="7030A0"/>
        </w:rPr>
        <w:t>Preventing Pollution</w:t>
      </w:r>
      <w:r w:rsidRPr="00E7595A">
        <w:rPr>
          <w:i/>
          <w:color w:val="7030A0"/>
        </w:rPr>
        <w:t xml:space="preserve">, page </w:t>
      </w:r>
      <w:r>
        <w:rPr>
          <w:i/>
          <w:color w:val="7030A0"/>
        </w:rPr>
        <w:t>32</w:t>
      </w:r>
    </w:p>
    <w:p w:rsidR="00E7595A" w:rsidRPr="00C93CC4" w:rsidRDefault="00E7595A" w:rsidP="00E7595A">
      <w:pPr>
        <w:spacing w:line="240" w:lineRule="auto"/>
      </w:pPr>
      <w:r w:rsidRPr="00C93CC4">
        <w:t xml:space="preserve">Secondary containment must hold at least 110% of the volume of polluting liquid that the largest tank on site is designed to contain. </w:t>
      </w:r>
    </w:p>
    <w:p w:rsidR="00E7595A" w:rsidRPr="00C93CC4" w:rsidRDefault="00E7595A" w:rsidP="00E7595A">
      <w:pPr>
        <w:spacing w:line="240" w:lineRule="auto"/>
      </w:pPr>
      <w:r w:rsidRPr="00C93CC4">
        <w:t xml:space="preserve">Bunds must also: </w:t>
      </w:r>
    </w:p>
    <w:p w:rsidR="00E7595A" w:rsidRPr="00C93CC4" w:rsidRDefault="00E7595A" w:rsidP="00E7595A">
      <w:pPr>
        <w:pStyle w:val="ListParagraph"/>
        <w:numPr>
          <w:ilvl w:val="0"/>
          <w:numId w:val="13"/>
        </w:numPr>
        <w:spacing w:line="240" w:lineRule="auto"/>
      </w:pPr>
      <w:r w:rsidRPr="00C93CC4">
        <w:t>Have capacity larger than 25% of the combined volume of all the tanks the bund is protecting.</w:t>
      </w:r>
    </w:p>
    <w:p w:rsidR="00E7595A" w:rsidRPr="00C93CC4" w:rsidRDefault="00E7595A" w:rsidP="00E7595A">
      <w:pPr>
        <w:pStyle w:val="ListParagraph"/>
        <w:numPr>
          <w:ilvl w:val="0"/>
          <w:numId w:val="13"/>
        </w:numPr>
        <w:spacing w:line="240" w:lineRule="auto"/>
      </w:pPr>
      <w:r w:rsidRPr="00C93CC4">
        <w:t>Have no outlets.</w:t>
      </w:r>
    </w:p>
    <w:p w:rsidR="00E7595A" w:rsidRPr="00C93CC4" w:rsidRDefault="00E7595A" w:rsidP="00E7595A">
      <w:pPr>
        <w:pStyle w:val="ListParagraph"/>
        <w:numPr>
          <w:ilvl w:val="0"/>
          <w:numId w:val="13"/>
        </w:numPr>
        <w:spacing w:line="240" w:lineRule="auto"/>
      </w:pPr>
      <w:r w:rsidRPr="00C93CC4">
        <w:t>Drain to a blind collection point.</w:t>
      </w:r>
    </w:p>
    <w:p w:rsidR="00E7595A" w:rsidRPr="00C93CC4" w:rsidRDefault="00E7595A" w:rsidP="00E7595A">
      <w:pPr>
        <w:pStyle w:val="ListParagraph"/>
        <w:numPr>
          <w:ilvl w:val="0"/>
          <w:numId w:val="13"/>
        </w:numPr>
        <w:spacing w:line="240" w:lineRule="auto"/>
      </w:pPr>
      <w:r w:rsidRPr="00C93CC4">
        <w:t>Have self-contained pipework that is separate from the container pipework.</w:t>
      </w:r>
    </w:p>
    <w:p w:rsidR="00932847" w:rsidRDefault="00932847" w:rsidP="00E7595A">
      <w:pPr>
        <w:rPr>
          <w:i/>
          <w:color w:val="7030A0"/>
        </w:rPr>
      </w:pPr>
    </w:p>
    <w:p w:rsidR="00932847" w:rsidRDefault="00932847" w:rsidP="00E7595A">
      <w:pPr>
        <w:rPr>
          <w:i/>
          <w:color w:val="7030A0"/>
        </w:rPr>
      </w:pPr>
    </w:p>
    <w:p w:rsidR="00E7595A" w:rsidRDefault="00E7595A" w:rsidP="00E7595A">
      <w:pPr>
        <w:rPr>
          <w:i/>
          <w:color w:val="7030A0"/>
        </w:rPr>
      </w:pPr>
      <w:r w:rsidRPr="00E7595A">
        <w:rPr>
          <w:i/>
          <w:color w:val="7030A0"/>
        </w:rPr>
        <w:t xml:space="preserve">Section </w:t>
      </w:r>
      <w:r>
        <w:rPr>
          <w:i/>
          <w:color w:val="7030A0"/>
        </w:rPr>
        <w:t>4</w:t>
      </w:r>
      <w:r w:rsidRPr="00E7595A">
        <w:rPr>
          <w:i/>
          <w:color w:val="7030A0"/>
        </w:rPr>
        <w:t xml:space="preserve">: Preventing </w:t>
      </w:r>
      <w:r>
        <w:rPr>
          <w:i/>
          <w:color w:val="7030A0"/>
        </w:rPr>
        <w:t>Fires</w:t>
      </w:r>
      <w:r w:rsidRPr="00E7595A">
        <w:rPr>
          <w:i/>
          <w:color w:val="7030A0"/>
        </w:rPr>
        <w:t>, page 3</w:t>
      </w:r>
      <w:r>
        <w:rPr>
          <w:i/>
          <w:color w:val="7030A0"/>
        </w:rPr>
        <w:t>6</w:t>
      </w:r>
    </w:p>
    <w:p w:rsidR="00E7595A" w:rsidRDefault="00E7595A" w:rsidP="00E7595A">
      <w:pPr>
        <w:rPr>
          <w:color w:val="000000" w:themeColor="text1"/>
        </w:rPr>
      </w:pPr>
      <w:r>
        <w:rPr>
          <w:color w:val="000000" w:themeColor="text1"/>
        </w:rPr>
        <w:t>The following are additional control measures for fire prevention (added to existing list):</w:t>
      </w:r>
    </w:p>
    <w:p w:rsidR="00E7595A" w:rsidRDefault="00E7595A" w:rsidP="00E7595A">
      <w:pPr>
        <w:pStyle w:val="ListParagraph"/>
        <w:numPr>
          <w:ilvl w:val="0"/>
          <w:numId w:val="14"/>
        </w:numPr>
        <w:rPr>
          <w:color w:val="000000" w:themeColor="text1"/>
        </w:rPr>
      </w:pPr>
      <w:r>
        <w:rPr>
          <w:color w:val="000000" w:themeColor="text1"/>
        </w:rPr>
        <w:t>Minimise pile sizes.</w:t>
      </w:r>
    </w:p>
    <w:p w:rsidR="00E7595A" w:rsidRPr="00F837B5" w:rsidRDefault="00E7595A" w:rsidP="00E7595A">
      <w:pPr>
        <w:pStyle w:val="ListParagraph"/>
        <w:numPr>
          <w:ilvl w:val="0"/>
          <w:numId w:val="14"/>
        </w:numPr>
        <w:rPr>
          <w:color w:val="000000" w:themeColor="text1"/>
        </w:rPr>
      </w:pPr>
      <w:r>
        <w:rPr>
          <w:color w:val="000000" w:themeColor="text1"/>
        </w:rPr>
        <w:t>Store waste materials in their largest form.</w:t>
      </w:r>
    </w:p>
    <w:p w:rsidR="00E7595A" w:rsidRDefault="00E7595A" w:rsidP="00E7595A">
      <w:pPr>
        <w:rPr>
          <w:i/>
          <w:color w:val="7030A0"/>
        </w:rPr>
      </w:pPr>
      <w:r w:rsidRPr="00E7595A">
        <w:rPr>
          <w:i/>
          <w:color w:val="7030A0"/>
        </w:rPr>
        <w:t xml:space="preserve">Section 4: </w:t>
      </w:r>
      <w:r>
        <w:rPr>
          <w:i/>
          <w:color w:val="7030A0"/>
        </w:rPr>
        <w:t>Fire Prevention Plans</w:t>
      </w:r>
      <w:r w:rsidRPr="00E7595A">
        <w:rPr>
          <w:i/>
          <w:color w:val="7030A0"/>
        </w:rPr>
        <w:t>, page 3</w:t>
      </w:r>
      <w:r>
        <w:rPr>
          <w:i/>
          <w:color w:val="7030A0"/>
        </w:rPr>
        <w:t>7</w:t>
      </w:r>
    </w:p>
    <w:p w:rsidR="00E7595A" w:rsidRDefault="00E7595A" w:rsidP="00E7595A">
      <w:pPr>
        <w:rPr>
          <w:color w:val="000000" w:themeColor="text1"/>
        </w:rPr>
      </w:pPr>
      <w:r>
        <w:rPr>
          <w:color w:val="000000" w:themeColor="text1"/>
        </w:rPr>
        <w:t>A fire prevention plan is designed to minimise the likelihood of fire, aim to extinguish any fire within 4 hours and minimise the spread of fire.</w:t>
      </w:r>
    </w:p>
    <w:p w:rsidR="00E7595A" w:rsidRPr="00E7595A" w:rsidRDefault="00E7595A" w:rsidP="00E7595A">
      <w:r w:rsidRPr="00E7595A">
        <w:t>Emergency contact details will usually include:</w:t>
      </w:r>
    </w:p>
    <w:p w:rsidR="00E7595A" w:rsidRPr="00E7595A" w:rsidRDefault="00E7595A" w:rsidP="00E7595A">
      <w:pPr>
        <w:pStyle w:val="ListParagraph"/>
        <w:numPr>
          <w:ilvl w:val="0"/>
          <w:numId w:val="15"/>
        </w:numPr>
      </w:pPr>
      <w:r w:rsidRPr="00E7595A">
        <w:t>Staff key holders</w:t>
      </w:r>
    </w:p>
    <w:p w:rsidR="00E7595A" w:rsidRPr="00E7595A" w:rsidRDefault="00E7595A" w:rsidP="00E7595A">
      <w:pPr>
        <w:pStyle w:val="ListParagraph"/>
        <w:numPr>
          <w:ilvl w:val="0"/>
          <w:numId w:val="15"/>
        </w:numPr>
      </w:pPr>
      <w:r w:rsidRPr="00E7595A">
        <w:t>Any sources of specialist advice</w:t>
      </w:r>
    </w:p>
    <w:p w:rsidR="00E7595A" w:rsidRPr="00E7595A" w:rsidRDefault="00E7595A" w:rsidP="00E7595A">
      <w:pPr>
        <w:pStyle w:val="ListParagraph"/>
        <w:numPr>
          <w:ilvl w:val="0"/>
          <w:numId w:val="15"/>
        </w:numPr>
      </w:pPr>
      <w:r w:rsidRPr="00E7595A">
        <w:t>Emergency services</w:t>
      </w:r>
    </w:p>
    <w:p w:rsidR="00E7595A" w:rsidRPr="00E7595A" w:rsidRDefault="00E7595A" w:rsidP="00E7595A">
      <w:pPr>
        <w:pStyle w:val="ListParagraph"/>
        <w:numPr>
          <w:ilvl w:val="0"/>
          <w:numId w:val="15"/>
        </w:numPr>
      </w:pPr>
      <w:r w:rsidRPr="00E7595A">
        <w:t>Specialist clean-up contractors</w:t>
      </w:r>
    </w:p>
    <w:p w:rsidR="00E7595A" w:rsidRPr="00E7595A" w:rsidRDefault="00E7595A" w:rsidP="00E7595A">
      <w:pPr>
        <w:pStyle w:val="ListParagraph"/>
        <w:numPr>
          <w:ilvl w:val="0"/>
          <w:numId w:val="15"/>
        </w:numPr>
      </w:pPr>
      <w:r w:rsidRPr="00E7595A">
        <w:t>The local water supply company</w:t>
      </w:r>
    </w:p>
    <w:p w:rsidR="00E7595A" w:rsidRPr="00E7595A" w:rsidRDefault="00E7595A" w:rsidP="00E7595A">
      <w:pPr>
        <w:pStyle w:val="ListParagraph"/>
        <w:numPr>
          <w:ilvl w:val="0"/>
          <w:numId w:val="15"/>
        </w:numPr>
      </w:pPr>
      <w:r w:rsidRPr="00E7595A">
        <w:t>The local sewerage undertaker</w:t>
      </w:r>
    </w:p>
    <w:p w:rsidR="00E7595A" w:rsidRPr="00E7595A" w:rsidRDefault="00E7595A" w:rsidP="00E7595A">
      <w:pPr>
        <w:pStyle w:val="ListParagraph"/>
        <w:numPr>
          <w:ilvl w:val="0"/>
          <w:numId w:val="15"/>
        </w:numPr>
      </w:pPr>
      <w:r w:rsidRPr="00E7595A">
        <w:t>Local authorities</w:t>
      </w:r>
    </w:p>
    <w:p w:rsidR="00E7595A" w:rsidRPr="00E7595A" w:rsidRDefault="00E7595A" w:rsidP="00E7595A">
      <w:pPr>
        <w:pStyle w:val="ListParagraph"/>
        <w:numPr>
          <w:ilvl w:val="0"/>
          <w:numId w:val="15"/>
        </w:numPr>
      </w:pPr>
      <w:r w:rsidRPr="00E7595A">
        <w:t>Environmental health service</w:t>
      </w:r>
    </w:p>
    <w:p w:rsidR="00E7595A" w:rsidRPr="00E7595A" w:rsidRDefault="00E7595A" w:rsidP="00E7595A">
      <w:pPr>
        <w:pStyle w:val="ListParagraph"/>
        <w:numPr>
          <w:ilvl w:val="0"/>
          <w:numId w:val="15"/>
        </w:numPr>
      </w:pPr>
      <w:r w:rsidRPr="00E7595A">
        <w:t>Health and Safety Executive</w:t>
      </w:r>
    </w:p>
    <w:p w:rsidR="00E7595A" w:rsidRPr="00E7595A" w:rsidRDefault="00E7595A" w:rsidP="00E7595A">
      <w:pPr>
        <w:pStyle w:val="ListParagraph"/>
        <w:numPr>
          <w:ilvl w:val="0"/>
          <w:numId w:val="15"/>
        </w:numPr>
      </w:pPr>
      <w:r w:rsidRPr="00E7595A">
        <w:t>Environmental Regulator</w:t>
      </w:r>
    </w:p>
    <w:p w:rsidR="00E7595A" w:rsidRDefault="00E7595A" w:rsidP="00E7595A">
      <w:pPr>
        <w:rPr>
          <w:i/>
          <w:color w:val="7030A0"/>
        </w:rPr>
      </w:pPr>
      <w:r w:rsidRPr="00E7595A">
        <w:rPr>
          <w:i/>
          <w:color w:val="7030A0"/>
        </w:rPr>
        <w:t xml:space="preserve">Section </w:t>
      </w:r>
      <w:r>
        <w:rPr>
          <w:i/>
          <w:color w:val="7030A0"/>
        </w:rPr>
        <w:t>5</w:t>
      </w:r>
      <w:r w:rsidRPr="00E7595A">
        <w:rPr>
          <w:i/>
          <w:color w:val="7030A0"/>
        </w:rPr>
        <w:t xml:space="preserve">: </w:t>
      </w:r>
      <w:r>
        <w:rPr>
          <w:i/>
          <w:color w:val="7030A0"/>
        </w:rPr>
        <w:t>Actions and Records</w:t>
      </w:r>
      <w:r w:rsidRPr="00E7595A">
        <w:rPr>
          <w:i/>
          <w:color w:val="7030A0"/>
        </w:rPr>
        <w:t xml:space="preserve">, page </w:t>
      </w:r>
      <w:r>
        <w:rPr>
          <w:i/>
          <w:color w:val="7030A0"/>
        </w:rPr>
        <w:t>41</w:t>
      </w:r>
    </w:p>
    <w:p w:rsidR="00E7595A" w:rsidRDefault="00E7595A" w:rsidP="00E7595A">
      <w:pPr>
        <w:spacing w:line="240" w:lineRule="auto"/>
      </w:pPr>
      <w:r>
        <w:t>Written confirmation of actual or potential pollution incidents and breaches of emission limits should be submitted to the regulator within 24 hours.</w:t>
      </w:r>
    </w:p>
    <w:p w:rsidR="00E7595A" w:rsidRPr="00212E7A" w:rsidRDefault="00212E7A" w:rsidP="00E7595A">
      <w:r w:rsidRPr="00212E7A">
        <w:t>Operators should keep records, including:</w:t>
      </w:r>
    </w:p>
    <w:p w:rsidR="00212E7A" w:rsidRPr="00212E7A" w:rsidRDefault="00212E7A" w:rsidP="00212E7A">
      <w:pPr>
        <w:pStyle w:val="ListParagraph"/>
        <w:numPr>
          <w:ilvl w:val="0"/>
          <w:numId w:val="17"/>
        </w:numPr>
      </w:pPr>
      <w:r w:rsidRPr="00212E7A">
        <w:t>Permits issued to the site</w:t>
      </w:r>
    </w:p>
    <w:p w:rsidR="00212E7A" w:rsidRPr="00212E7A" w:rsidRDefault="00212E7A" w:rsidP="00212E7A">
      <w:pPr>
        <w:pStyle w:val="ListParagraph"/>
        <w:numPr>
          <w:ilvl w:val="0"/>
          <w:numId w:val="17"/>
        </w:numPr>
      </w:pPr>
      <w:r w:rsidRPr="00212E7A">
        <w:t>All management system plans</w:t>
      </w:r>
    </w:p>
    <w:p w:rsidR="00212E7A" w:rsidRPr="00212E7A" w:rsidRDefault="00212E7A" w:rsidP="00212E7A">
      <w:pPr>
        <w:pStyle w:val="ListParagraph"/>
        <w:numPr>
          <w:ilvl w:val="0"/>
          <w:numId w:val="17"/>
        </w:numPr>
      </w:pPr>
      <w:r w:rsidRPr="00212E7A">
        <w:t>Audits of management system, findings and actions taken</w:t>
      </w:r>
    </w:p>
    <w:p w:rsidR="009B5506" w:rsidRPr="00932847" w:rsidRDefault="00212E7A" w:rsidP="00A6136C">
      <w:pPr>
        <w:pStyle w:val="ListParagraph"/>
        <w:numPr>
          <w:ilvl w:val="0"/>
          <w:numId w:val="17"/>
        </w:numPr>
        <w:spacing w:before="240"/>
        <w:rPr>
          <w:i/>
          <w:color w:val="7030A0"/>
        </w:rPr>
      </w:pPr>
      <w:r w:rsidRPr="004A4AC9">
        <w:t>Complaints, investigations and actions taken</w:t>
      </w:r>
      <w:r w:rsidR="00932847">
        <w:t>.</w:t>
      </w:r>
    </w:p>
    <w:p w:rsidR="00932847" w:rsidRDefault="00932847" w:rsidP="00C02BF3">
      <w:pPr>
        <w:rPr>
          <w:i/>
          <w:color w:val="7030A0"/>
        </w:rPr>
      </w:pPr>
    </w:p>
    <w:p w:rsidR="00932847" w:rsidRDefault="00932847" w:rsidP="00C02BF3">
      <w:pPr>
        <w:rPr>
          <w:i/>
          <w:color w:val="7030A0"/>
        </w:rPr>
      </w:pPr>
    </w:p>
    <w:p w:rsidR="00932847" w:rsidRDefault="00932847" w:rsidP="00C02BF3">
      <w:pPr>
        <w:rPr>
          <w:i/>
          <w:color w:val="7030A0"/>
        </w:rPr>
      </w:pPr>
    </w:p>
    <w:p w:rsidR="00C02BF3" w:rsidRPr="00C02BF3" w:rsidRDefault="00C02BF3" w:rsidP="00C02BF3">
      <w:pPr>
        <w:rPr>
          <w:i/>
          <w:color w:val="7030A0"/>
        </w:rPr>
      </w:pPr>
      <w:bookmarkStart w:id="0" w:name="_GoBack"/>
      <w:bookmarkEnd w:id="0"/>
      <w:r>
        <w:rPr>
          <w:i/>
          <w:color w:val="7030A0"/>
        </w:rPr>
        <w:t>Revised List of Sources</w:t>
      </w:r>
    </w:p>
    <w:tbl>
      <w:tblPr>
        <w:tblStyle w:val="TableGrid"/>
        <w:tblW w:w="5000" w:type="pct"/>
        <w:tblLayout w:type="fixed"/>
        <w:tblLook w:val="04A0" w:firstRow="1" w:lastRow="0" w:firstColumn="1" w:lastColumn="0" w:noHBand="0" w:noVBand="1"/>
      </w:tblPr>
      <w:tblGrid>
        <w:gridCol w:w="959"/>
        <w:gridCol w:w="3416"/>
      </w:tblGrid>
      <w:tr w:rsidR="00C02BF3" w:rsidRPr="00903C2D" w:rsidTr="008B1233">
        <w:tc>
          <w:tcPr>
            <w:tcW w:w="1096" w:type="pct"/>
            <w:shd w:val="clear" w:color="auto" w:fill="7030A0"/>
          </w:tcPr>
          <w:p w:rsidR="00C02BF3" w:rsidRPr="00C02BF3" w:rsidRDefault="00C02BF3" w:rsidP="00C02BF3">
            <w:pPr>
              <w:rPr>
                <w:b/>
                <w:color w:val="FFFFFF" w:themeColor="background1"/>
              </w:rPr>
            </w:pPr>
            <w:r w:rsidRPr="00C02BF3">
              <w:rPr>
                <w:b/>
                <w:color w:val="FFFFFF" w:themeColor="background1"/>
              </w:rPr>
              <w:t>Page</w:t>
            </w:r>
          </w:p>
        </w:tc>
        <w:tc>
          <w:tcPr>
            <w:tcW w:w="3904" w:type="pct"/>
            <w:shd w:val="clear" w:color="auto" w:fill="7030A0"/>
          </w:tcPr>
          <w:p w:rsidR="00C02BF3" w:rsidRPr="00C02BF3" w:rsidRDefault="00C02BF3" w:rsidP="00C02BF3">
            <w:pPr>
              <w:rPr>
                <w:b/>
                <w:color w:val="FFFFFF" w:themeColor="background1"/>
              </w:rPr>
            </w:pPr>
            <w:r w:rsidRPr="00C02BF3">
              <w:rPr>
                <w:b/>
                <w:color w:val="FFFFFF" w:themeColor="background1"/>
              </w:rPr>
              <w:t>Source</w:t>
            </w:r>
          </w:p>
        </w:tc>
      </w:tr>
      <w:tr w:rsidR="008B1233" w:rsidRPr="00903C2D" w:rsidTr="008B1233">
        <w:tc>
          <w:tcPr>
            <w:tcW w:w="1096" w:type="pct"/>
          </w:tcPr>
          <w:p w:rsidR="008B1233" w:rsidRPr="008B1233" w:rsidRDefault="008B1233" w:rsidP="008B1233">
            <w:pPr>
              <w:spacing w:after="120"/>
              <w:rPr>
                <w:b/>
                <w:bCs/>
                <w:szCs w:val="20"/>
              </w:rPr>
            </w:pPr>
            <w:r w:rsidRPr="008B1233">
              <w:rPr>
                <w:szCs w:val="20"/>
              </w:rPr>
              <w:t>12,</w:t>
            </w:r>
            <w:r w:rsidRPr="008B1233">
              <w:t xml:space="preserve"> </w:t>
            </w:r>
            <w:r w:rsidRPr="008B1233">
              <w:rPr>
                <w:szCs w:val="20"/>
              </w:rPr>
              <w:t>13,</w:t>
            </w:r>
            <w:r w:rsidRPr="008B1233">
              <w:t xml:space="preserve"> </w:t>
            </w:r>
            <w:r w:rsidRPr="008B1233">
              <w:rPr>
                <w:szCs w:val="20"/>
              </w:rPr>
              <w:t>14,</w:t>
            </w:r>
            <w:r w:rsidRPr="008B1233">
              <w:t xml:space="preserve"> </w:t>
            </w:r>
            <w:r w:rsidRPr="008B1233">
              <w:rPr>
                <w:szCs w:val="20"/>
              </w:rPr>
              <w:t>32,</w:t>
            </w:r>
            <w:r w:rsidRPr="008B1233">
              <w:t xml:space="preserve"> </w:t>
            </w:r>
            <w:r w:rsidRPr="008B1233">
              <w:rPr>
                <w:szCs w:val="20"/>
              </w:rPr>
              <w:t>33</w:t>
            </w:r>
          </w:p>
        </w:tc>
        <w:tc>
          <w:tcPr>
            <w:tcW w:w="3904" w:type="pct"/>
          </w:tcPr>
          <w:p w:rsidR="008B1233" w:rsidRPr="00D60E31" w:rsidRDefault="00412C73" w:rsidP="008B1233">
            <w:hyperlink r:id="rId10" w:history="1">
              <w:r w:rsidR="008B1233" w:rsidRPr="008B1233">
                <w:rPr>
                  <w:rStyle w:val="Hyperlink"/>
                </w:rPr>
                <w:t>Health Technical Memorandum 07-01:Safe Management of Healthcare Waste</w:t>
              </w:r>
            </w:hyperlink>
          </w:p>
        </w:tc>
      </w:tr>
      <w:tr w:rsidR="008B1233" w:rsidRPr="00903C2D" w:rsidTr="008B1233">
        <w:tc>
          <w:tcPr>
            <w:tcW w:w="1096" w:type="pct"/>
          </w:tcPr>
          <w:p w:rsidR="008B1233" w:rsidRPr="008B1233" w:rsidRDefault="008B1233" w:rsidP="008B1233">
            <w:pPr>
              <w:spacing w:after="120"/>
              <w:rPr>
                <w:b/>
                <w:bCs/>
                <w:szCs w:val="20"/>
              </w:rPr>
            </w:pPr>
            <w:r w:rsidRPr="008B1233">
              <w:rPr>
                <w:szCs w:val="20"/>
              </w:rPr>
              <w:t>12, 13</w:t>
            </w:r>
            <w:r w:rsidRPr="008B1233">
              <w:t>, 14, 32, 33</w:t>
            </w:r>
          </w:p>
        </w:tc>
        <w:tc>
          <w:tcPr>
            <w:tcW w:w="3904" w:type="pct"/>
          </w:tcPr>
          <w:p w:rsidR="008B1233" w:rsidRDefault="00412C73" w:rsidP="008B1233">
            <w:hyperlink r:id="rId11" w:history="1">
              <w:r w:rsidR="008B1233" w:rsidRPr="008B1233">
                <w:rPr>
                  <w:rStyle w:val="Hyperlink"/>
                </w:rPr>
                <w:t>WHTM 07-01 Welsh Health Technical Memorandum</w:t>
              </w:r>
            </w:hyperlink>
            <w:r w:rsidR="008B1233">
              <w:t xml:space="preserve"> </w:t>
            </w:r>
          </w:p>
          <w:p w:rsidR="008B1233" w:rsidRPr="00D60E31" w:rsidRDefault="008B1233" w:rsidP="008B1233"/>
        </w:tc>
      </w:tr>
      <w:tr w:rsidR="008B1233" w:rsidRPr="00903C2D" w:rsidTr="008B1233">
        <w:tc>
          <w:tcPr>
            <w:tcW w:w="1096" w:type="pct"/>
          </w:tcPr>
          <w:p w:rsidR="008B1233" w:rsidRPr="008B1233" w:rsidRDefault="008B1233" w:rsidP="008B1233">
            <w:pPr>
              <w:spacing w:after="120"/>
              <w:rPr>
                <w:b/>
                <w:bCs/>
                <w:szCs w:val="20"/>
              </w:rPr>
            </w:pPr>
            <w:r w:rsidRPr="008B1233">
              <w:rPr>
                <w:szCs w:val="20"/>
              </w:rPr>
              <w:t>12, 13</w:t>
            </w:r>
            <w:r w:rsidRPr="008B1233">
              <w:t>, 14</w:t>
            </w:r>
          </w:p>
        </w:tc>
        <w:tc>
          <w:tcPr>
            <w:tcW w:w="3904" w:type="pct"/>
          </w:tcPr>
          <w:p w:rsidR="008B1233" w:rsidRPr="00D60E31" w:rsidRDefault="00412C73" w:rsidP="008B1233">
            <w:hyperlink r:id="rId12" w:history="1">
              <w:r w:rsidR="008B1233" w:rsidRPr="008B1233">
                <w:rPr>
                  <w:rStyle w:val="Hyperlink"/>
                </w:rPr>
                <w:t>HSE Guidance: Management of Healthcare Waste</w:t>
              </w:r>
            </w:hyperlink>
          </w:p>
        </w:tc>
      </w:tr>
      <w:tr w:rsidR="008B1233" w:rsidRPr="00903C2D" w:rsidTr="008B1233">
        <w:tc>
          <w:tcPr>
            <w:tcW w:w="1096" w:type="pct"/>
          </w:tcPr>
          <w:p w:rsidR="008B1233" w:rsidRPr="008B1233" w:rsidRDefault="008B1233" w:rsidP="008B1233">
            <w:pPr>
              <w:spacing w:after="120"/>
              <w:rPr>
                <w:b/>
                <w:bCs/>
                <w:szCs w:val="20"/>
              </w:rPr>
            </w:pPr>
            <w:r w:rsidRPr="008B1233">
              <w:t xml:space="preserve">14, </w:t>
            </w:r>
            <w:r w:rsidRPr="008B1233">
              <w:rPr>
                <w:szCs w:val="20"/>
              </w:rPr>
              <w:t>16,</w:t>
            </w:r>
            <w:r w:rsidRPr="008B1233">
              <w:t xml:space="preserve"> 19, </w:t>
            </w:r>
            <w:r w:rsidRPr="008B1233">
              <w:rPr>
                <w:szCs w:val="20"/>
              </w:rPr>
              <w:t>27,</w:t>
            </w:r>
            <w:r w:rsidRPr="008B1233">
              <w:t xml:space="preserve"> </w:t>
            </w:r>
            <w:r w:rsidRPr="008B1233">
              <w:rPr>
                <w:szCs w:val="20"/>
              </w:rPr>
              <w:t>28,</w:t>
            </w:r>
            <w:r w:rsidRPr="008B1233">
              <w:t xml:space="preserve"> </w:t>
            </w:r>
            <w:r w:rsidRPr="008B1233">
              <w:rPr>
                <w:szCs w:val="20"/>
              </w:rPr>
              <w:t>29</w:t>
            </w:r>
            <w:r w:rsidRPr="008B1233">
              <w:t>, 33</w:t>
            </w:r>
          </w:p>
        </w:tc>
        <w:tc>
          <w:tcPr>
            <w:tcW w:w="3904" w:type="pct"/>
          </w:tcPr>
          <w:p w:rsidR="008B1233" w:rsidRPr="00D60E31" w:rsidRDefault="00412C73" w:rsidP="008B1233">
            <w:hyperlink r:id="rId13" w:history="1">
              <w:r w:rsidR="008B1233" w:rsidRPr="008B1233">
                <w:rPr>
                  <w:rStyle w:val="Hyperlink"/>
                </w:rPr>
                <w:t>Environment Agency (2011) How to comply with your environmental permit: additional guidance for clinical waste</w:t>
              </w:r>
            </w:hyperlink>
            <w:r w:rsidR="008B1233">
              <w:t xml:space="preserve"> </w:t>
            </w:r>
          </w:p>
        </w:tc>
      </w:tr>
      <w:tr w:rsidR="008B1233" w:rsidRPr="00903C2D" w:rsidTr="008B1233">
        <w:tc>
          <w:tcPr>
            <w:tcW w:w="1096" w:type="pct"/>
          </w:tcPr>
          <w:p w:rsidR="008B1233" w:rsidRPr="008B1233" w:rsidRDefault="008B1233" w:rsidP="008B1233">
            <w:pPr>
              <w:spacing w:after="120"/>
              <w:rPr>
                <w:b/>
                <w:bCs/>
                <w:szCs w:val="20"/>
              </w:rPr>
            </w:pPr>
            <w:r w:rsidRPr="008B1233">
              <w:t xml:space="preserve">14, </w:t>
            </w:r>
            <w:r w:rsidRPr="008B1233">
              <w:rPr>
                <w:szCs w:val="20"/>
              </w:rPr>
              <w:t>16</w:t>
            </w:r>
            <w:r w:rsidRPr="008B1233">
              <w:t>, 27, 28, 33</w:t>
            </w:r>
          </w:p>
        </w:tc>
        <w:tc>
          <w:tcPr>
            <w:tcW w:w="3904" w:type="pct"/>
          </w:tcPr>
          <w:p w:rsidR="008B1233" w:rsidRPr="00D60E31" w:rsidRDefault="00412C73" w:rsidP="008B1233">
            <w:hyperlink r:id="rId14" w:history="1">
              <w:r w:rsidR="008B1233" w:rsidRPr="008B1233">
                <w:rPr>
                  <w:rStyle w:val="Hyperlink"/>
                </w:rPr>
                <w:t>NRW (2014) How to comply with your environmental permit: additional guidance for clinical waste</w:t>
              </w:r>
            </w:hyperlink>
          </w:p>
        </w:tc>
      </w:tr>
      <w:tr w:rsidR="008B1233" w:rsidRPr="00903C2D" w:rsidTr="008B1233">
        <w:tc>
          <w:tcPr>
            <w:tcW w:w="1096" w:type="pct"/>
          </w:tcPr>
          <w:p w:rsidR="008B1233" w:rsidRPr="008B1233" w:rsidRDefault="008B1233" w:rsidP="008B1233">
            <w:pPr>
              <w:spacing w:after="120"/>
              <w:rPr>
                <w:b/>
                <w:bCs/>
                <w:szCs w:val="20"/>
              </w:rPr>
            </w:pPr>
            <w:r w:rsidRPr="008B1233">
              <w:rPr>
                <w:szCs w:val="20"/>
              </w:rPr>
              <w:t>19</w:t>
            </w:r>
          </w:p>
        </w:tc>
        <w:tc>
          <w:tcPr>
            <w:tcW w:w="3904" w:type="pct"/>
          </w:tcPr>
          <w:p w:rsidR="008B1233" w:rsidRPr="00D60E31" w:rsidRDefault="00412C73" w:rsidP="008B1233">
            <w:hyperlink r:id="rId15" w:history="1">
              <w:r w:rsidR="008B1233" w:rsidRPr="008B1233">
                <w:rPr>
                  <w:rStyle w:val="Hyperlink"/>
                </w:rPr>
                <w:t>Environment Agency (2015) Waste Classification: Technical Guidance WM3</w:t>
              </w:r>
            </w:hyperlink>
          </w:p>
        </w:tc>
      </w:tr>
      <w:tr w:rsidR="008B1233" w:rsidRPr="00903C2D" w:rsidTr="008B1233">
        <w:tc>
          <w:tcPr>
            <w:tcW w:w="1096" w:type="pct"/>
          </w:tcPr>
          <w:p w:rsidR="008B1233" w:rsidRPr="008B1233" w:rsidRDefault="008B1233" w:rsidP="008B1233">
            <w:pPr>
              <w:spacing w:after="120"/>
              <w:rPr>
                <w:b/>
                <w:bCs/>
                <w:szCs w:val="20"/>
              </w:rPr>
            </w:pPr>
            <w:r w:rsidRPr="008B1233">
              <w:rPr>
                <w:szCs w:val="20"/>
              </w:rPr>
              <w:t>24</w:t>
            </w:r>
          </w:p>
        </w:tc>
        <w:tc>
          <w:tcPr>
            <w:tcW w:w="3904" w:type="pct"/>
          </w:tcPr>
          <w:p w:rsidR="008B1233" w:rsidRPr="008B1233" w:rsidRDefault="00412C73" w:rsidP="008B1233">
            <w:pPr>
              <w:rPr>
                <w:szCs w:val="20"/>
              </w:rPr>
            </w:pPr>
            <w:hyperlink r:id="rId16" w:history="1">
              <w:r w:rsidR="008B1233" w:rsidRPr="008B1233">
                <w:rPr>
                  <w:rStyle w:val="Hyperlink"/>
                  <w:szCs w:val="20"/>
                </w:rPr>
                <w:t xml:space="preserve">GOV.UK </w:t>
              </w:r>
              <w:r w:rsidR="008B1233" w:rsidRPr="008B1233">
                <w:rPr>
                  <w:rStyle w:val="Hyperlink"/>
                </w:rPr>
                <w:t>–</w:t>
              </w:r>
              <w:r w:rsidR="008B1233" w:rsidRPr="008B1233">
                <w:rPr>
                  <w:rStyle w:val="Hyperlink"/>
                  <w:szCs w:val="20"/>
                </w:rPr>
                <w:t xml:space="preserve"> Hazardous Waste</w:t>
              </w:r>
            </w:hyperlink>
            <w:r w:rsidR="008B1233">
              <w:rPr>
                <w:szCs w:val="20"/>
              </w:rPr>
              <w:t xml:space="preserve"> </w:t>
            </w:r>
          </w:p>
        </w:tc>
      </w:tr>
      <w:tr w:rsidR="008B1233" w:rsidRPr="00903C2D" w:rsidTr="008B1233">
        <w:tc>
          <w:tcPr>
            <w:tcW w:w="1096" w:type="pct"/>
          </w:tcPr>
          <w:p w:rsidR="008B1233" w:rsidRPr="008B1233" w:rsidRDefault="008B1233" w:rsidP="008B1233">
            <w:pPr>
              <w:spacing w:after="120"/>
              <w:rPr>
                <w:b/>
                <w:bCs/>
                <w:szCs w:val="20"/>
              </w:rPr>
            </w:pPr>
            <w:r w:rsidRPr="008B1233">
              <w:rPr>
                <w:szCs w:val="20"/>
              </w:rPr>
              <w:t>24</w:t>
            </w:r>
          </w:p>
        </w:tc>
        <w:tc>
          <w:tcPr>
            <w:tcW w:w="3904" w:type="pct"/>
          </w:tcPr>
          <w:p w:rsidR="008B1233" w:rsidRPr="00D60E31" w:rsidRDefault="00412C73" w:rsidP="008B1233">
            <w:pPr>
              <w:rPr>
                <w:szCs w:val="20"/>
              </w:rPr>
            </w:pPr>
            <w:hyperlink r:id="rId17" w:history="1">
              <w:r w:rsidR="008B1233" w:rsidRPr="008B1233">
                <w:rPr>
                  <w:rStyle w:val="Hyperlink"/>
                  <w:szCs w:val="20"/>
                </w:rPr>
                <w:t>NRW – Hazardous Waste Returns</w:t>
              </w:r>
            </w:hyperlink>
          </w:p>
        </w:tc>
      </w:tr>
      <w:tr w:rsidR="008B1233" w:rsidRPr="00903C2D" w:rsidTr="008B1233">
        <w:tc>
          <w:tcPr>
            <w:tcW w:w="1096" w:type="pct"/>
          </w:tcPr>
          <w:p w:rsidR="008B1233" w:rsidRPr="008B1233" w:rsidRDefault="008B1233" w:rsidP="008B1233">
            <w:pPr>
              <w:spacing w:after="120"/>
              <w:rPr>
                <w:b/>
                <w:bCs/>
                <w:szCs w:val="20"/>
              </w:rPr>
            </w:pPr>
            <w:r w:rsidRPr="008B1233">
              <w:rPr>
                <w:szCs w:val="20"/>
              </w:rPr>
              <w:t>24</w:t>
            </w:r>
          </w:p>
        </w:tc>
        <w:tc>
          <w:tcPr>
            <w:tcW w:w="3904" w:type="pct"/>
          </w:tcPr>
          <w:p w:rsidR="008B1233" w:rsidRPr="008B1233" w:rsidRDefault="00412C73" w:rsidP="008B1233">
            <w:hyperlink r:id="rId18" w:history="1">
              <w:r w:rsidR="008B1233" w:rsidRPr="008B1233">
                <w:rPr>
                  <w:rStyle w:val="Hyperlink"/>
                </w:rPr>
                <w:t>Your waste – your responsibility (Duty of Care)</w:t>
              </w:r>
            </w:hyperlink>
          </w:p>
        </w:tc>
      </w:tr>
    </w:tbl>
    <w:p w:rsidR="00A674E5" w:rsidRDefault="00C02BF3" w:rsidP="00C02BF3">
      <w:pPr>
        <w:spacing w:before="240"/>
        <w:rPr>
          <w:i/>
        </w:rPr>
      </w:pPr>
      <w:r w:rsidRPr="00C02BF3">
        <w:rPr>
          <w:b/>
          <w:i/>
        </w:rPr>
        <w:t>Please note:</w:t>
      </w:r>
      <w:r w:rsidRPr="00C02BF3">
        <w:rPr>
          <w:i/>
        </w:rPr>
        <w:t xml:space="preserve"> this information was correct at the time of publishing. If you find these links are broken, type the document title into a search engine</w:t>
      </w:r>
      <w:r>
        <w:rPr>
          <w:i/>
        </w:rPr>
        <w:t>.</w:t>
      </w:r>
    </w:p>
    <w:p w:rsidR="00A6136C" w:rsidRDefault="00A352DD" w:rsidP="00C02BF3">
      <w:pPr>
        <w:spacing w:before="240"/>
        <w:rPr>
          <w:i/>
        </w:rPr>
      </w:pPr>
      <w:r>
        <w:rPr>
          <w:noProof/>
          <w:lang w:eastAsia="en-GB"/>
        </w:rPr>
        <w:drawing>
          <wp:anchor distT="0" distB="0" distL="114300" distR="114300" simplePos="0" relativeHeight="251661312" behindDoc="0" locked="0" layoutInCell="1" allowOverlap="1" wp14:anchorId="7880BC2E" wp14:editId="7DC02020">
            <wp:simplePos x="0" y="0"/>
            <wp:positionH relativeFrom="column">
              <wp:posOffset>-194310</wp:posOffset>
            </wp:positionH>
            <wp:positionV relativeFrom="paragraph">
              <wp:posOffset>105410</wp:posOffset>
            </wp:positionV>
            <wp:extent cx="2806700" cy="2007870"/>
            <wp:effectExtent l="0" t="0" r="0" b="0"/>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Book Concept_Small.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06700" cy="2007870"/>
                    </a:xfrm>
                    <a:prstGeom prst="rect">
                      <a:avLst/>
                    </a:prstGeom>
                  </pic:spPr>
                </pic:pic>
              </a:graphicData>
            </a:graphic>
            <wp14:sizeRelH relativeFrom="page">
              <wp14:pctWidth>0</wp14:pctWidth>
            </wp14:sizeRelH>
            <wp14:sizeRelV relativeFrom="page">
              <wp14:pctHeight>0</wp14:pctHeight>
            </wp14:sizeRelV>
          </wp:anchor>
        </w:drawing>
      </w:r>
    </w:p>
    <w:p w:rsidR="00972763" w:rsidRDefault="00972763" w:rsidP="00C02BF3">
      <w:pPr>
        <w:spacing w:before="240"/>
        <w:rPr>
          <w:i/>
        </w:rPr>
      </w:pPr>
    </w:p>
    <w:p w:rsidR="00972763" w:rsidRDefault="00972763" w:rsidP="00C02BF3">
      <w:pPr>
        <w:spacing w:before="240"/>
        <w:rPr>
          <w:i/>
        </w:rPr>
      </w:pPr>
    </w:p>
    <w:p w:rsidR="00972763" w:rsidRDefault="00972763" w:rsidP="00C02BF3">
      <w:pPr>
        <w:spacing w:before="240"/>
        <w:rPr>
          <w:i/>
        </w:rPr>
      </w:pPr>
    </w:p>
    <w:p w:rsidR="00972763" w:rsidRDefault="00972763" w:rsidP="00C02BF3">
      <w:pPr>
        <w:spacing w:before="240"/>
        <w:rPr>
          <w:i/>
        </w:rPr>
      </w:pPr>
    </w:p>
    <w:p w:rsidR="00A6136C" w:rsidRDefault="00A6136C" w:rsidP="00C02BF3">
      <w:pPr>
        <w:spacing w:before="240"/>
        <w:rPr>
          <w:i/>
        </w:rPr>
      </w:pPr>
    </w:p>
    <w:p w:rsidR="00A6136C" w:rsidRDefault="00A6136C" w:rsidP="00A6136C">
      <w:pPr>
        <w:spacing w:before="240" w:after="0"/>
        <w:rPr>
          <w:i/>
        </w:rPr>
      </w:pPr>
    </w:p>
    <w:tbl>
      <w:tblPr>
        <w:tblStyle w:val="TableGrid"/>
        <w:tblW w:w="0" w:type="auto"/>
        <w:tblLook w:val="04A0" w:firstRow="1" w:lastRow="0" w:firstColumn="1" w:lastColumn="0" w:noHBand="0" w:noVBand="1"/>
      </w:tblPr>
      <w:tblGrid>
        <w:gridCol w:w="4375"/>
      </w:tblGrid>
      <w:tr w:rsidR="00A6136C" w:rsidTr="00A6136C">
        <w:tc>
          <w:tcPr>
            <w:tcW w:w="4375" w:type="dxa"/>
            <w:tcBorders>
              <w:top w:val="single" w:sz="4" w:space="0" w:color="7030A0"/>
              <w:left w:val="single" w:sz="4" w:space="0" w:color="7030A0"/>
              <w:bottom w:val="single" w:sz="4" w:space="0" w:color="7030A0"/>
              <w:right w:val="single" w:sz="4" w:space="0" w:color="7030A0"/>
            </w:tcBorders>
            <w:shd w:val="clear" w:color="auto" w:fill="E5DFEC" w:themeFill="accent4" w:themeFillTint="33"/>
          </w:tcPr>
          <w:p w:rsidR="00A6136C" w:rsidRDefault="00A6136C" w:rsidP="00A6136C">
            <w:pPr>
              <w:rPr>
                <w:b/>
              </w:rPr>
            </w:pPr>
          </w:p>
          <w:p w:rsidR="00A6136C" w:rsidRDefault="00A6136C" w:rsidP="00A6136C">
            <w:pPr>
              <w:rPr>
                <w:b/>
              </w:rPr>
            </w:pPr>
            <w:r>
              <w:rPr>
                <w:b/>
              </w:rPr>
              <w:t>About this sheet</w:t>
            </w:r>
          </w:p>
          <w:p w:rsidR="00A6136C" w:rsidRDefault="00A6136C" w:rsidP="00A6136C">
            <w:pPr>
              <w:spacing w:before="240"/>
              <w:rPr>
                <w:i/>
              </w:rPr>
            </w:pPr>
            <w:r w:rsidRPr="00AA6976">
              <w:rPr>
                <w:i/>
              </w:rPr>
              <w:t xml:space="preserve">The Continuing Competence Free Update Sheet is designed to be used by purchasers of the Continuing Competence Revision Guides for the 2016-2018 period. </w:t>
            </w:r>
          </w:p>
          <w:p w:rsidR="00A6136C" w:rsidRPr="00AA6976" w:rsidRDefault="00A6136C" w:rsidP="00A6136C">
            <w:pPr>
              <w:rPr>
                <w:i/>
              </w:rPr>
            </w:pPr>
          </w:p>
          <w:p w:rsidR="00A6136C" w:rsidRPr="00AA6976" w:rsidRDefault="00A6136C" w:rsidP="00A6136C">
            <w:pPr>
              <w:rPr>
                <w:i/>
              </w:rPr>
            </w:pPr>
            <w:r w:rsidRPr="00AA6976">
              <w:rPr>
                <w:i/>
              </w:rPr>
              <w:t>It will highlight any changes in technical guidance and sources used as a basis for the Continuing Competence question bank to support the revision of users.</w:t>
            </w:r>
          </w:p>
          <w:p w:rsidR="00A6136C" w:rsidRDefault="00A6136C" w:rsidP="00A6136C">
            <w:pPr>
              <w:rPr>
                <w:i/>
              </w:rPr>
            </w:pPr>
          </w:p>
        </w:tc>
      </w:tr>
    </w:tbl>
    <w:p w:rsidR="00A6136C" w:rsidRDefault="00A6136C" w:rsidP="003F6D66">
      <w:pPr>
        <w:spacing w:after="0"/>
        <w:rPr>
          <w:b/>
        </w:rPr>
      </w:pPr>
    </w:p>
    <w:p w:rsidR="00A6136C" w:rsidRDefault="00A6136C" w:rsidP="00A6136C">
      <w:pPr>
        <w:rPr>
          <w:b/>
        </w:rPr>
      </w:pPr>
      <w:r>
        <w:rPr>
          <w:b/>
        </w:rPr>
        <w:t>Frequently Asked Questions (FAQs)</w:t>
      </w:r>
    </w:p>
    <w:p w:rsidR="00A6136C" w:rsidRPr="00F02619" w:rsidRDefault="00A6136C" w:rsidP="00A6136C">
      <w:pPr>
        <w:rPr>
          <w:i/>
          <w:color w:val="7030A0"/>
        </w:rPr>
      </w:pPr>
      <w:r w:rsidRPr="00F02619">
        <w:rPr>
          <w:i/>
          <w:color w:val="7030A0"/>
        </w:rPr>
        <w:t>How much does the test cost?</w:t>
      </w:r>
    </w:p>
    <w:p w:rsidR="00A6136C" w:rsidRDefault="00A6136C" w:rsidP="00A6136C">
      <w:r>
        <w:t xml:space="preserve">Each test costs </w:t>
      </w:r>
      <w:r w:rsidRPr="00964157">
        <w:rPr>
          <w:b/>
          <w:u w:val="single"/>
        </w:rPr>
        <w:t>£139</w:t>
      </w:r>
      <w:r>
        <w:t xml:space="preserve"> irrespective of the number of Activity Specific Tests chosen (a maximum of three activity specific tests can be taken at one time).</w:t>
      </w:r>
    </w:p>
    <w:p w:rsidR="00A6136C" w:rsidRPr="00F02619" w:rsidRDefault="00A6136C" w:rsidP="00A6136C">
      <w:pPr>
        <w:rPr>
          <w:i/>
          <w:color w:val="7030A0"/>
        </w:rPr>
      </w:pPr>
      <w:r w:rsidRPr="00F02619">
        <w:rPr>
          <w:i/>
          <w:color w:val="7030A0"/>
        </w:rPr>
        <w:t>What form of personal identification can I use at the test centre?</w:t>
      </w:r>
    </w:p>
    <w:p w:rsidR="00A6136C" w:rsidRDefault="00A6136C" w:rsidP="00A6136C">
      <w:pPr>
        <w:pStyle w:val="ListParagraph"/>
        <w:numPr>
          <w:ilvl w:val="0"/>
          <w:numId w:val="1"/>
        </w:numPr>
      </w:pPr>
      <w:r>
        <w:t>A valid signed passport of any country with your photograph and signature.</w:t>
      </w:r>
    </w:p>
    <w:p w:rsidR="00A6136C" w:rsidRDefault="00A6136C" w:rsidP="00A6136C">
      <w:pPr>
        <w:pStyle w:val="ListParagraph"/>
        <w:numPr>
          <w:ilvl w:val="0"/>
          <w:numId w:val="1"/>
        </w:numPr>
      </w:pPr>
      <w:r>
        <w:t>A valid signed UK photo card driving licence (full or provisional).</w:t>
      </w:r>
    </w:p>
    <w:p w:rsidR="00A6136C" w:rsidRPr="008A2290" w:rsidRDefault="00A6136C" w:rsidP="00A6136C">
      <w:pPr>
        <w:pStyle w:val="ListParagraph"/>
        <w:numPr>
          <w:ilvl w:val="0"/>
          <w:numId w:val="1"/>
        </w:numPr>
      </w:pPr>
      <w:r>
        <w:t>If you have none of these, you may present a Citizen’s ID Card.</w:t>
      </w:r>
      <w:r w:rsidR="00A352DD" w:rsidRPr="00A352DD">
        <w:rPr>
          <w:noProof/>
          <w:lang w:eastAsia="en-GB"/>
        </w:rPr>
        <w:t xml:space="preserve"> </w:t>
      </w:r>
    </w:p>
    <w:p w:rsidR="00A6136C" w:rsidRDefault="00A6136C" w:rsidP="00A6136C">
      <w:pPr>
        <w:rPr>
          <w:i/>
          <w:color w:val="7030A0"/>
        </w:rPr>
      </w:pPr>
      <w:r>
        <w:rPr>
          <w:i/>
          <w:color w:val="7030A0"/>
        </w:rPr>
        <w:t>How can I find out if I have passed the test?</w:t>
      </w:r>
    </w:p>
    <w:p w:rsidR="003F6D66" w:rsidRDefault="00A6136C" w:rsidP="00286918">
      <w:r>
        <w:t xml:space="preserve">At the end of the test you will receive your score report which provides the scores for each component of the Generic Knowledge Test and the score for each Activity Specific Test you have taken. </w:t>
      </w:r>
    </w:p>
    <w:p w:rsidR="00A6136C" w:rsidRPr="00AB5205" w:rsidRDefault="003F6D66" w:rsidP="00286918">
      <w:r>
        <w:t>T</w:t>
      </w:r>
      <w:r w:rsidR="00A6136C">
        <w:t xml:space="preserve">here is an example on the back of your score report showing how to work out if you’ve passed. Alternatively, you can go to </w:t>
      </w:r>
      <w:hyperlink r:id="rId20" w:history="1">
        <w:r w:rsidR="00A6136C" w:rsidRPr="00902207">
          <w:rPr>
            <w:rStyle w:val="Hyperlink"/>
          </w:rPr>
          <w:t>https://wamitab.org.uk/competence/continuing-competence/test-score-calculator/</w:t>
        </w:r>
      </w:hyperlink>
      <w:r w:rsidR="00A6136C">
        <w:t xml:space="preserve"> and type in your scores.</w:t>
      </w:r>
    </w:p>
    <w:sectPr w:rsidR="00A6136C" w:rsidRPr="00AB5205" w:rsidSect="00A674E5">
      <w:headerReference w:type="default" r:id="rId21"/>
      <w:footerReference w:type="default" r:id="rId22"/>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95A" w:rsidRDefault="00E7595A" w:rsidP="00033393">
      <w:pPr>
        <w:spacing w:after="0" w:line="240" w:lineRule="auto"/>
      </w:pPr>
      <w:r>
        <w:separator/>
      </w:r>
    </w:p>
  </w:endnote>
  <w:endnote w:type="continuationSeparator" w:id="0">
    <w:p w:rsidR="00E7595A" w:rsidRDefault="00E7595A" w:rsidP="00033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770377"/>
      <w:docPartObj>
        <w:docPartGallery w:val="Page Numbers (Bottom of Page)"/>
        <w:docPartUnique/>
      </w:docPartObj>
    </w:sdtPr>
    <w:sdtEndPr/>
    <w:sdtContent>
      <w:sdt>
        <w:sdtPr>
          <w:id w:val="-1011378125"/>
          <w:docPartObj>
            <w:docPartGallery w:val="Page Numbers (Top of Page)"/>
            <w:docPartUnique/>
          </w:docPartObj>
        </w:sdtPr>
        <w:sdtEndPr/>
        <w:sdtContent>
          <w:p w:rsidR="00E7595A" w:rsidRDefault="00E7595A" w:rsidP="00FB3587">
            <w:pPr>
              <w:spacing w:after="0"/>
            </w:pPr>
            <w:r>
              <w:rPr>
                <w:noProof/>
                <w:lang w:eastAsia="en-GB"/>
              </w:rPr>
              <mc:AlternateContent>
                <mc:Choice Requires="wps">
                  <w:drawing>
                    <wp:anchor distT="0" distB="0" distL="114300" distR="114300" simplePos="0" relativeHeight="251661312" behindDoc="0" locked="0" layoutInCell="1" allowOverlap="1" wp14:anchorId="481767A9" wp14:editId="44F0A98B">
                      <wp:simplePos x="0" y="0"/>
                      <wp:positionH relativeFrom="column">
                        <wp:posOffset>-912495</wp:posOffset>
                      </wp:positionH>
                      <wp:positionV relativeFrom="paragraph">
                        <wp:posOffset>-271051</wp:posOffset>
                      </wp:positionV>
                      <wp:extent cx="7560310" cy="135890"/>
                      <wp:effectExtent l="0" t="0" r="21590" b="16510"/>
                      <wp:wrapNone/>
                      <wp:docPr id="2" name="Rectangle 2"/>
                      <wp:cNvGraphicFramePr/>
                      <a:graphic xmlns:a="http://schemas.openxmlformats.org/drawingml/2006/main">
                        <a:graphicData uri="http://schemas.microsoft.com/office/word/2010/wordprocessingShape">
                          <wps:wsp>
                            <wps:cNvSpPr/>
                            <wps:spPr>
                              <a:xfrm>
                                <a:off x="0" y="0"/>
                                <a:ext cx="7560310" cy="135890"/>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71.85pt;margin-top:-21.35pt;width:595.3pt;height:10.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" fillcolor="#7030a0" strokecolor="#7030a0" strokeweight="2pt"/>
                  </w:pict>
                </mc:Fallback>
              </mc:AlternateContent>
            </w:r>
            <w:r w:rsidRPr="00FB3587">
              <w:t xml:space="preserve"> </w:t>
            </w:r>
            <w:sdt>
              <w:sdtPr>
                <w:id w:val="106205202"/>
                <w:docPartObj>
                  <w:docPartGallery w:val="Page Numbers (Bottom of Page)"/>
                  <w:docPartUnique/>
                </w:docPartObj>
              </w:sdtPr>
              <w:sdtEndPr/>
              <w:sdtContent>
                <w:sdt>
                  <w:sdtPr>
                    <w:id w:val="565050523"/>
                    <w:docPartObj>
                      <w:docPartGallery w:val="Page Numbers (Top of Page)"/>
                      <w:docPartUnique/>
                    </w:docPartObj>
                  </w:sdtPr>
                  <w:sdtEndPr/>
                  <w:sdtContent>
                    <w:sdt>
                      <w:sdtPr>
                        <w:id w:val="18124399"/>
                        <w:docPartObj>
                          <w:docPartGallery w:val="Page Numbers (Top of Page)"/>
                          <w:docPartUnique/>
                        </w:docPartObj>
                      </w:sdtPr>
                      <w:sdtEndPr/>
                      <w:sdtContent>
                        <w:r>
                          <w:rPr>
                            <w:rFonts w:ascii="Calibri" w:hAnsi="Calibri"/>
                            <w:color w:val="000000"/>
                          </w:rPr>
                          <w:t>Copyright ©2019</w:t>
                        </w:r>
                        <w:r w:rsidRPr="00EE1BFB">
                          <w:rPr>
                            <w:rFonts w:ascii="Calibri" w:hAnsi="Calibri"/>
                            <w:color w:val="000000"/>
                          </w:rPr>
                          <w:t xml:space="preserve"> </w:t>
                        </w:r>
                        <w:r>
                          <w:rPr>
                            <w:rFonts w:ascii="Calibri" w:hAnsi="Calibri"/>
                            <w:color w:val="000000"/>
                          </w:rPr>
                          <w:t xml:space="preserve">WAMITAB                                                                                                   </w:t>
                        </w:r>
                        <w:r w:rsidRPr="00962130">
                          <w:t xml:space="preserve">Page </w:t>
                        </w:r>
                        <w:r w:rsidRPr="00962130">
                          <w:rPr>
                            <w:b/>
                          </w:rPr>
                          <w:fldChar w:fldCharType="begin"/>
                        </w:r>
                        <w:r w:rsidRPr="00962130">
                          <w:rPr>
                            <w:b/>
                          </w:rPr>
                          <w:instrText xml:space="preserve"> PAGE </w:instrText>
                        </w:r>
                        <w:r w:rsidRPr="00962130">
                          <w:rPr>
                            <w:b/>
                          </w:rPr>
                          <w:fldChar w:fldCharType="separate"/>
                        </w:r>
                        <w:r w:rsidR="00412C73">
                          <w:rPr>
                            <w:b/>
                            <w:noProof/>
                          </w:rPr>
                          <w:t>3</w:t>
                        </w:r>
                        <w:r w:rsidRPr="00962130">
                          <w:rPr>
                            <w:b/>
                          </w:rPr>
                          <w:fldChar w:fldCharType="end"/>
                        </w:r>
                        <w:r w:rsidRPr="00962130">
                          <w:t xml:space="preserve"> of </w:t>
                        </w:r>
                        <w:r w:rsidRPr="00962130">
                          <w:rPr>
                            <w:b/>
                          </w:rPr>
                          <w:fldChar w:fldCharType="begin"/>
                        </w:r>
                        <w:r w:rsidRPr="00962130">
                          <w:rPr>
                            <w:b/>
                          </w:rPr>
                          <w:instrText xml:space="preserve"> NUMPAGES  </w:instrText>
                        </w:r>
                        <w:r w:rsidRPr="00962130">
                          <w:rPr>
                            <w:b/>
                          </w:rPr>
                          <w:fldChar w:fldCharType="separate"/>
                        </w:r>
                        <w:r w:rsidR="00412C73">
                          <w:rPr>
                            <w:b/>
                            <w:noProof/>
                          </w:rPr>
                          <w:t>3</w:t>
                        </w:r>
                        <w:r w:rsidRPr="00962130">
                          <w:rPr>
                            <w:b/>
                          </w:rPr>
                          <w:fldChar w:fldCharType="end"/>
                        </w:r>
                      </w:sdtContent>
                    </w:sdt>
                  </w:sdtContent>
                </w:sdt>
              </w:sdtContent>
            </w:sdt>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95A" w:rsidRDefault="00E7595A" w:rsidP="00033393">
      <w:pPr>
        <w:spacing w:after="0" w:line="240" w:lineRule="auto"/>
      </w:pPr>
      <w:r>
        <w:separator/>
      </w:r>
    </w:p>
  </w:footnote>
  <w:footnote w:type="continuationSeparator" w:id="0">
    <w:p w:rsidR="00E7595A" w:rsidRDefault="00E7595A" w:rsidP="00033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95A" w:rsidRPr="00033393" w:rsidRDefault="00E7595A">
    <w:pPr>
      <w:pStyle w:val="Header"/>
      <w:rPr>
        <w:b/>
      </w:rPr>
    </w:pPr>
    <w:r w:rsidRPr="00033393">
      <w:rPr>
        <w:b/>
        <w:noProof/>
        <w:lang w:eastAsia="en-GB"/>
      </w:rPr>
      <mc:AlternateContent>
        <mc:Choice Requires="wps">
          <w:drawing>
            <wp:anchor distT="0" distB="0" distL="114300" distR="114300" simplePos="0" relativeHeight="251659264" behindDoc="0" locked="0" layoutInCell="1" allowOverlap="1" wp14:anchorId="60D00148" wp14:editId="26CE015F">
              <wp:simplePos x="0" y="0"/>
              <wp:positionH relativeFrom="column">
                <wp:posOffset>-914400</wp:posOffset>
              </wp:positionH>
              <wp:positionV relativeFrom="paragraph">
                <wp:posOffset>314695</wp:posOffset>
              </wp:positionV>
              <wp:extent cx="7560860" cy="136477"/>
              <wp:effectExtent l="0" t="0" r="21590" b="16510"/>
              <wp:wrapNone/>
              <wp:docPr id="1" name="Rectangle 1"/>
              <wp:cNvGraphicFramePr/>
              <a:graphic xmlns:a="http://schemas.openxmlformats.org/drawingml/2006/main">
                <a:graphicData uri="http://schemas.microsoft.com/office/word/2010/wordprocessingShape">
                  <wps:wsp>
                    <wps:cNvSpPr/>
                    <wps:spPr>
                      <a:xfrm>
                        <a:off x="0" y="0"/>
                        <a:ext cx="7560860" cy="136477"/>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in;margin-top:24.8pt;width:595.35pt;height:1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" fillcolor="#7030a0" strokecolor="#7030a0" strokeweight="2pt"/>
          </w:pict>
        </mc:Fallback>
      </mc:AlternateContent>
    </w:r>
    <w:r w:rsidRPr="00033393">
      <w:rPr>
        <w:b/>
      </w:rPr>
      <w:t>Continuing Competence</w:t>
    </w:r>
    <w:r w:rsidRPr="00033393">
      <w:rPr>
        <w:b/>
      </w:rPr>
      <w:ptab w:relativeTo="margin" w:alignment="center" w:leader="none"/>
    </w:r>
    <w:r w:rsidRPr="00033393">
      <w:rPr>
        <w:b/>
      </w:rPr>
      <w:t>Free Update Sheet</w:t>
    </w:r>
    <w:r w:rsidRPr="00033393">
      <w:rPr>
        <w:b/>
      </w:rPr>
      <w:ptab w:relativeTo="margin" w:alignment="right" w:leader="none"/>
    </w:r>
    <w:r w:rsidRPr="00033393">
      <w:rPr>
        <w:b/>
      </w:rPr>
      <w:t>Period 2019-2021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596"/>
    <w:multiLevelType w:val="hybridMultilevel"/>
    <w:tmpl w:val="8738F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2B2A70"/>
    <w:multiLevelType w:val="hybridMultilevel"/>
    <w:tmpl w:val="6CFEA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3154F83"/>
    <w:multiLevelType w:val="hybridMultilevel"/>
    <w:tmpl w:val="4330D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7B707DC"/>
    <w:multiLevelType w:val="hybridMultilevel"/>
    <w:tmpl w:val="7744D4FA"/>
    <w:lvl w:ilvl="0" w:tplc="B308D31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AA676F2"/>
    <w:multiLevelType w:val="hybridMultilevel"/>
    <w:tmpl w:val="E5B6F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FAC350C"/>
    <w:multiLevelType w:val="hybridMultilevel"/>
    <w:tmpl w:val="79648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41E5B49"/>
    <w:multiLevelType w:val="hybridMultilevel"/>
    <w:tmpl w:val="95403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CA90B17"/>
    <w:multiLevelType w:val="hybridMultilevel"/>
    <w:tmpl w:val="24BE0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F8B17B5"/>
    <w:multiLevelType w:val="hybridMultilevel"/>
    <w:tmpl w:val="72B06D24"/>
    <w:lvl w:ilvl="0" w:tplc="B308D31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C2F11BB"/>
    <w:multiLevelType w:val="hybridMultilevel"/>
    <w:tmpl w:val="CD9EB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D900997"/>
    <w:multiLevelType w:val="hybridMultilevel"/>
    <w:tmpl w:val="205A7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1005908"/>
    <w:multiLevelType w:val="hybridMultilevel"/>
    <w:tmpl w:val="B9C8B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663776D"/>
    <w:multiLevelType w:val="hybridMultilevel"/>
    <w:tmpl w:val="D3249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A596AD8"/>
    <w:multiLevelType w:val="hybridMultilevel"/>
    <w:tmpl w:val="6AB61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0734CE4"/>
    <w:multiLevelType w:val="hybridMultilevel"/>
    <w:tmpl w:val="04CAF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34E388E"/>
    <w:multiLevelType w:val="hybridMultilevel"/>
    <w:tmpl w:val="B68A5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D7537EE"/>
    <w:multiLevelType w:val="hybridMultilevel"/>
    <w:tmpl w:val="CBD40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15"/>
  </w:num>
  <w:num w:numId="4">
    <w:abstractNumId w:val="11"/>
  </w:num>
  <w:num w:numId="5">
    <w:abstractNumId w:val="1"/>
  </w:num>
  <w:num w:numId="6">
    <w:abstractNumId w:val="9"/>
  </w:num>
  <w:num w:numId="7">
    <w:abstractNumId w:val="14"/>
  </w:num>
  <w:num w:numId="8">
    <w:abstractNumId w:val="6"/>
  </w:num>
  <w:num w:numId="9">
    <w:abstractNumId w:val="0"/>
  </w:num>
  <w:num w:numId="10">
    <w:abstractNumId w:val="2"/>
  </w:num>
  <w:num w:numId="11">
    <w:abstractNumId w:val="4"/>
  </w:num>
  <w:num w:numId="12">
    <w:abstractNumId w:val="3"/>
  </w:num>
  <w:num w:numId="13">
    <w:abstractNumId w:val="13"/>
  </w:num>
  <w:num w:numId="14">
    <w:abstractNumId w:val="12"/>
  </w:num>
  <w:num w:numId="15">
    <w:abstractNumId w:val="16"/>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CA7"/>
    <w:rsid w:val="000218C2"/>
    <w:rsid w:val="0002797C"/>
    <w:rsid w:val="00033393"/>
    <w:rsid w:val="000C3A3D"/>
    <w:rsid w:val="001F089D"/>
    <w:rsid w:val="00212E7A"/>
    <w:rsid w:val="00286918"/>
    <w:rsid w:val="00327D79"/>
    <w:rsid w:val="003321AB"/>
    <w:rsid w:val="003E0AF3"/>
    <w:rsid w:val="003F6D66"/>
    <w:rsid w:val="00412C73"/>
    <w:rsid w:val="00440CA7"/>
    <w:rsid w:val="004A4AC9"/>
    <w:rsid w:val="005607D4"/>
    <w:rsid w:val="00565A44"/>
    <w:rsid w:val="00616296"/>
    <w:rsid w:val="00655B8E"/>
    <w:rsid w:val="0069215B"/>
    <w:rsid w:val="006B39C9"/>
    <w:rsid w:val="007A593D"/>
    <w:rsid w:val="008A2290"/>
    <w:rsid w:val="008B1233"/>
    <w:rsid w:val="00917404"/>
    <w:rsid w:val="00932847"/>
    <w:rsid w:val="00964157"/>
    <w:rsid w:val="00972763"/>
    <w:rsid w:val="009B5506"/>
    <w:rsid w:val="00A352DD"/>
    <w:rsid w:val="00A57AF7"/>
    <w:rsid w:val="00A6136C"/>
    <w:rsid w:val="00A674E5"/>
    <w:rsid w:val="00A7727F"/>
    <w:rsid w:val="00A97B72"/>
    <w:rsid w:val="00AA6976"/>
    <w:rsid w:val="00AB5205"/>
    <w:rsid w:val="00AE4804"/>
    <w:rsid w:val="00B15D2A"/>
    <w:rsid w:val="00B22E93"/>
    <w:rsid w:val="00B41CC1"/>
    <w:rsid w:val="00B66978"/>
    <w:rsid w:val="00BE5446"/>
    <w:rsid w:val="00C02BF3"/>
    <w:rsid w:val="00C20806"/>
    <w:rsid w:val="00C93CC4"/>
    <w:rsid w:val="00D90EA2"/>
    <w:rsid w:val="00DB0056"/>
    <w:rsid w:val="00E57C78"/>
    <w:rsid w:val="00E7595A"/>
    <w:rsid w:val="00E961A5"/>
    <w:rsid w:val="00EF221F"/>
    <w:rsid w:val="00F02619"/>
    <w:rsid w:val="00F029FD"/>
    <w:rsid w:val="00FB3587"/>
    <w:rsid w:val="00FF5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86918"/>
    <w:pPr>
      <w:keepNext/>
      <w:keepLines/>
      <w:spacing w:after="240"/>
      <w:outlineLvl w:val="1"/>
    </w:pPr>
    <w:rPr>
      <w:rFonts w:ascii="Calibri" w:eastAsia="Times New Roman" w:hAnsi="Calibri" w:cs="Times New Roman"/>
      <w:b/>
      <w:bCs/>
      <w:color w:val="8064A2" w:themeColor="accent4"/>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393"/>
  </w:style>
  <w:style w:type="paragraph" w:styleId="Footer">
    <w:name w:val="footer"/>
    <w:basedOn w:val="Normal"/>
    <w:link w:val="FooterChar"/>
    <w:uiPriority w:val="99"/>
    <w:unhideWhenUsed/>
    <w:rsid w:val="00033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393"/>
  </w:style>
  <w:style w:type="paragraph" w:styleId="BalloonText">
    <w:name w:val="Balloon Text"/>
    <w:basedOn w:val="Normal"/>
    <w:link w:val="BalloonTextChar"/>
    <w:uiPriority w:val="99"/>
    <w:semiHidden/>
    <w:unhideWhenUsed/>
    <w:rsid w:val="00033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393"/>
    <w:rPr>
      <w:rFonts w:ascii="Tahoma" w:hAnsi="Tahoma" w:cs="Tahoma"/>
      <w:sz w:val="16"/>
      <w:szCs w:val="16"/>
    </w:rPr>
  </w:style>
  <w:style w:type="table" w:styleId="TableGrid">
    <w:name w:val="Table Grid"/>
    <w:basedOn w:val="TableNormal"/>
    <w:uiPriority w:val="59"/>
    <w:rsid w:val="00BE5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2619"/>
    <w:pPr>
      <w:ind w:left="720"/>
      <w:contextualSpacing/>
    </w:pPr>
  </w:style>
  <w:style w:type="character" w:styleId="Hyperlink">
    <w:name w:val="Hyperlink"/>
    <w:basedOn w:val="DefaultParagraphFont"/>
    <w:uiPriority w:val="99"/>
    <w:unhideWhenUsed/>
    <w:rsid w:val="00F02619"/>
    <w:rPr>
      <w:color w:val="0000FF" w:themeColor="hyperlink"/>
      <w:u w:val="single"/>
    </w:rPr>
  </w:style>
  <w:style w:type="table" w:styleId="LightShading-Accent4">
    <w:name w:val="Light Shading Accent 4"/>
    <w:basedOn w:val="TableNormal"/>
    <w:uiPriority w:val="60"/>
    <w:rsid w:val="00C02BF3"/>
    <w:pPr>
      <w:spacing w:after="0" w:line="240" w:lineRule="auto"/>
    </w:pPr>
    <w:rPr>
      <w:rFonts w:eastAsiaTheme="minorEastAsia"/>
      <w:color w:val="5F497A" w:themeColor="accent4" w:themeShade="BF"/>
      <w:lang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2Char">
    <w:name w:val="Heading 2 Char"/>
    <w:basedOn w:val="DefaultParagraphFont"/>
    <w:link w:val="Heading2"/>
    <w:uiPriority w:val="9"/>
    <w:rsid w:val="00286918"/>
    <w:rPr>
      <w:rFonts w:ascii="Calibri" w:eastAsia="Times New Roman" w:hAnsi="Calibri" w:cs="Times New Roman"/>
      <w:b/>
      <w:bCs/>
      <w:color w:val="8064A2" w:themeColor="accent4"/>
      <w:sz w:val="26"/>
      <w:szCs w:val="26"/>
      <w:lang w:eastAsia="en-GB"/>
    </w:rPr>
  </w:style>
  <w:style w:type="character" w:styleId="CommentReference">
    <w:name w:val="annotation reference"/>
    <w:basedOn w:val="DefaultParagraphFont"/>
    <w:uiPriority w:val="99"/>
    <w:semiHidden/>
    <w:unhideWhenUsed/>
    <w:rsid w:val="003E0AF3"/>
    <w:rPr>
      <w:sz w:val="16"/>
      <w:szCs w:val="16"/>
    </w:rPr>
  </w:style>
  <w:style w:type="paragraph" w:styleId="CommentText">
    <w:name w:val="annotation text"/>
    <w:basedOn w:val="Normal"/>
    <w:link w:val="CommentTextChar"/>
    <w:uiPriority w:val="99"/>
    <w:semiHidden/>
    <w:unhideWhenUsed/>
    <w:rsid w:val="003E0AF3"/>
    <w:pPr>
      <w:spacing w:line="240" w:lineRule="auto"/>
    </w:pPr>
    <w:rPr>
      <w:sz w:val="20"/>
      <w:szCs w:val="20"/>
    </w:rPr>
  </w:style>
  <w:style w:type="character" w:customStyle="1" w:styleId="CommentTextChar">
    <w:name w:val="Comment Text Char"/>
    <w:basedOn w:val="DefaultParagraphFont"/>
    <w:link w:val="CommentText"/>
    <w:uiPriority w:val="99"/>
    <w:semiHidden/>
    <w:rsid w:val="003E0AF3"/>
    <w:rPr>
      <w:sz w:val="20"/>
      <w:szCs w:val="20"/>
    </w:rPr>
  </w:style>
  <w:style w:type="paragraph" w:styleId="CommentSubject">
    <w:name w:val="annotation subject"/>
    <w:basedOn w:val="CommentText"/>
    <w:next w:val="CommentText"/>
    <w:link w:val="CommentSubjectChar"/>
    <w:uiPriority w:val="99"/>
    <w:semiHidden/>
    <w:unhideWhenUsed/>
    <w:rsid w:val="003E0AF3"/>
    <w:rPr>
      <w:b/>
      <w:bCs/>
    </w:rPr>
  </w:style>
  <w:style w:type="character" w:customStyle="1" w:styleId="CommentSubjectChar">
    <w:name w:val="Comment Subject Char"/>
    <w:basedOn w:val="CommentTextChar"/>
    <w:link w:val="CommentSubject"/>
    <w:uiPriority w:val="99"/>
    <w:semiHidden/>
    <w:rsid w:val="003E0AF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86918"/>
    <w:pPr>
      <w:keepNext/>
      <w:keepLines/>
      <w:spacing w:after="240"/>
      <w:outlineLvl w:val="1"/>
    </w:pPr>
    <w:rPr>
      <w:rFonts w:ascii="Calibri" w:eastAsia="Times New Roman" w:hAnsi="Calibri" w:cs="Times New Roman"/>
      <w:b/>
      <w:bCs/>
      <w:color w:val="8064A2" w:themeColor="accent4"/>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393"/>
  </w:style>
  <w:style w:type="paragraph" w:styleId="Footer">
    <w:name w:val="footer"/>
    <w:basedOn w:val="Normal"/>
    <w:link w:val="FooterChar"/>
    <w:uiPriority w:val="99"/>
    <w:unhideWhenUsed/>
    <w:rsid w:val="00033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393"/>
  </w:style>
  <w:style w:type="paragraph" w:styleId="BalloonText">
    <w:name w:val="Balloon Text"/>
    <w:basedOn w:val="Normal"/>
    <w:link w:val="BalloonTextChar"/>
    <w:uiPriority w:val="99"/>
    <w:semiHidden/>
    <w:unhideWhenUsed/>
    <w:rsid w:val="00033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393"/>
    <w:rPr>
      <w:rFonts w:ascii="Tahoma" w:hAnsi="Tahoma" w:cs="Tahoma"/>
      <w:sz w:val="16"/>
      <w:szCs w:val="16"/>
    </w:rPr>
  </w:style>
  <w:style w:type="table" w:styleId="TableGrid">
    <w:name w:val="Table Grid"/>
    <w:basedOn w:val="TableNormal"/>
    <w:uiPriority w:val="59"/>
    <w:rsid w:val="00BE5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2619"/>
    <w:pPr>
      <w:ind w:left="720"/>
      <w:contextualSpacing/>
    </w:pPr>
  </w:style>
  <w:style w:type="character" w:styleId="Hyperlink">
    <w:name w:val="Hyperlink"/>
    <w:basedOn w:val="DefaultParagraphFont"/>
    <w:uiPriority w:val="99"/>
    <w:unhideWhenUsed/>
    <w:rsid w:val="00F02619"/>
    <w:rPr>
      <w:color w:val="0000FF" w:themeColor="hyperlink"/>
      <w:u w:val="single"/>
    </w:rPr>
  </w:style>
  <w:style w:type="table" w:styleId="LightShading-Accent4">
    <w:name w:val="Light Shading Accent 4"/>
    <w:basedOn w:val="TableNormal"/>
    <w:uiPriority w:val="60"/>
    <w:rsid w:val="00C02BF3"/>
    <w:pPr>
      <w:spacing w:after="0" w:line="240" w:lineRule="auto"/>
    </w:pPr>
    <w:rPr>
      <w:rFonts w:eastAsiaTheme="minorEastAsia"/>
      <w:color w:val="5F497A" w:themeColor="accent4" w:themeShade="BF"/>
      <w:lang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2Char">
    <w:name w:val="Heading 2 Char"/>
    <w:basedOn w:val="DefaultParagraphFont"/>
    <w:link w:val="Heading2"/>
    <w:uiPriority w:val="9"/>
    <w:rsid w:val="00286918"/>
    <w:rPr>
      <w:rFonts w:ascii="Calibri" w:eastAsia="Times New Roman" w:hAnsi="Calibri" w:cs="Times New Roman"/>
      <w:b/>
      <w:bCs/>
      <w:color w:val="8064A2" w:themeColor="accent4"/>
      <w:sz w:val="26"/>
      <w:szCs w:val="26"/>
      <w:lang w:eastAsia="en-GB"/>
    </w:rPr>
  </w:style>
  <w:style w:type="character" w:styleId="CommentReference">
    <w:name w:val="annotation reference"/>
    <w:basedOn w:val="DefaultParagraphFont"/>
    <w:uiPriority w:val="99"/>
    <w:semiHidden/>
    <w:unhideWhenUsed/>
    <w:rsid w:val="003E0AF3"/>
    <w:rPr>
      <w:sz w:val="16"/>
      <w:szCs w:val="16"/>
    </w:rPr>
  </w:style>
  <w:style w:type="paragraph" w:styleId="CommentText">
    <w:name w:val="annotation text"/>
    <w:basedOn w:val="Normal"/>
    <w:link w:val="CommentTextChar"/>
    <w:uiPriority w:val="99"/>
    <w:semiHidden/>
    <w:unhideWhenUsed/>
    <w:rsid w:val="003E0AF3"/>
    <w:pPr>
      <w:spacing w:line="240" w:lineRule="auto"/>
    </w:pPr>
    <w:rPr>
      <w:sz w:val="20"/>
      <w:szCs w:val="20"/>
    </w:rPr>
  </w:style>
  <w:style w:type="character" w:customStyle="1" w:styleId="CommentTextChar">
    <w:name w:val="Comment Text Char"/>
    <w:basedOn w:val="DefaultParagraphFont"/>
    <w:link w:val="CommentText"/>
    <w:uiPriority w:val="99"/>
    <w:semiHidden/>
    <w:rsid w:val="003E0AF3"/>
    <w:rPr>
      <w:sz w:val="20"/>
      <w:szCs w:val="20"/>
    </w:rPr>
  </w:style>
  <w:style w:type="paragraph" w:styleId="CommentSubject">
    <w:name w:val="annotation subject"/>
    <w:basedOn w:val="CommentText"/>
    <w:next w:val="CommentText"/>
    <w:link w:val="CommentSubjectChar"/>
    <w:uiPriority w:val="99"/>
    <w:semiHidden/>
    <w:unhideWhenUsed/>
    <w:rsid w:val="003E0AF3"/>
    <w:rPr>
      <w:b/>
      <w:bCs/>
    </w:rPr>
  </w:style>
  <w:style w:type="character" w:customStyle="1" w:styleId="CommentSubjectChar">
    <w:name w:val="Comment Subject Char"/>
    <w:basedOn w:val="CommentTextChar"/>
    <w:link w:val="CommentSubject"/>
    <w:uiPriority w:val="99"/>
    <w:semiHidden/>
    <w:rsid w:val="003E0A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7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uploads/system/uploads/attachment_data/file/296418/geho0710bsvi-e-e.pdf" TargetMode="External"/><Relationship Id="rId18" Type="http://schemas.openxmlformats.org/officeDocument/2006/relationships/hyperlink" Target="https://www.gov.uk/managing-your-waste-an-overview/waste-transfer-note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hse.gov.uk/healthservices/healthcare-waste.htm" TargetMode="External"/><Relationship Id="rId17" Type="http://schemas.openxmlformats.org/officeDocument/2006/relationships/hyperlink" Target="https://naturalresources.wales/guidance-and-advice/environmental-topics/waste-management/hazardous-waste-returns-1/?lang=en" TargetMode="External"/><Relationship Id="rId2" Type="http://schemas.openxmlformats.org/officeDocument/2006/relationships/numbering" Target="numbering.xml"/><Relationship Id="rId16" Type="http://schemas.openxmlformats.org/officeDocument/2006/relationships/hyperlink" Target="https://www.gov.uk/dispose-hazardous-waste/consignees" TargetMode="External"/><Relationship Id="rId20" Type="http://schemas.openxmlformats.org/officeDocument/2006/relationships/hyperlink" Target="https://wamitab.org.uk/competence/continuing-competence/test-score-calculato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les.nhs.uk/sites3/Documents/254/WHTM%2007-01.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v.uk/government/uploads/system/uploads/attachment_data/file/427077/LIT_10121.pdf" TargetMode="External"/><Relationship Id="rId23" Type="http://schemas.openxmlformats.org/officeDocument/2006/relationships/fontTable" Target="fontTable.xml"/><Relationship Id="rId10" Type="http://schemas.openxmlformats.org/officeDocument/2006/relationships/hyperlink" Target="https://assets.publishing.service.gov.uk/government/uploads/system/uploads/attachment_data/file/167976/HTM_07-01_Final.pdf"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naturalresources.wales/media/2113/how-to-comply-with-your-environmental-permit-additional-guidance-for-clinical-waste.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410EA25-3DA1-466F-891F-60C81FD48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Wamitab</Company>
  <LinksUpToDate>false</LinksUpToDate>
  <CharactersWithSpaces>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Kemp</dc:creator>
  <cp:lastModifiedBy>Sophie Howard</cp:lastModifiedBy>
  <cp:revision>2</cp:revision>
  <cp:lastPrinted>2018-11-07T09:57:00Z</cp:lastPrinted>
  <dcterms:created xsi:type="dcterms:W3CDTF">2019-02-18T16:20:00Z</dcterms:created>
  <dcterms:modified xsi:type="dcterms:W3CDTF">2019-02-18T16:20:00Z</dcterms:modified>
</cp:coreProperties>
</file>