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F9256E" w:rsidP="00A6136C">
      <w:pPr>
        <w:spacing w:before="240" w:after="0"/>
        <w:rPr>
          <w:b/>
          <w:color w:val="7030A0"/>
          <w:sz w:val="24"/>
        </w:rPr>
      </w:pPr>
      <w:r>
        <w:rPr>
          <w:b/>
          <w:color w:val="7030A0"/>
          <w:sz w:val="24"/>
        </w:rPr>
        <w:t>Legislation</w:t>
      </w:r>
    </w:p>
    <w:p w:rsidR="00A6136C" w:rsidRDefault="00A6136C" w:rsidP="00A6136C">
      <w:pPr>
        <w:spacing w:after="0"/>
        <w:rPr>
          <w:b/>
        </w:rPr>
      </w:pPr>
      <w:r>
        <w:rPr>
          <w:b/>
        </w:rPr>
        <w:t>Content Changes 2016-2018 Revision Guide</w:t>
      </w:r>
    </w:p>
    <w:p w:rsidR="00F60291" w:rsidRPr="00F60291" w:rsidRDefault="00F60291" w:rsidP="00F60291">
      <w:pPr>
        <w:spacing w:after="0"/>
        <w:rPr>
          <w:rFonts w:ascii="Calibri" w:eastAsia="Calibri" w:hAnsi="Calibri" w:cs="Times New Roman"/>
          <w:b/>
          <w:i/>
        </w:rPr>
      </w:pPr>
      <w:r w:rsidRPr="00F60291">
        <w:rPr>
          <w:rFonts w:ascii="Calibri" w:eastAsia="Calibri" w:hAnsi="Calibri" w:cs="Times New Roman"/>
          <w:b/>
          <w:i/>
        </w:rPr>
        <w:t xml:space="preserve">All page numbers refer to the 2016-2018 Revision Guides with red covers. </w:t>
      </w:r>
    </w:p>
    <w:p w:rsidR="00F60291" w:rsidRDefault="00F60291" w:rsidP="00A6136C">
      <w:pPr>
        <w:spacing w:after="0"/>
        <w:rPr>
          <w:b/>
        </w:rPr>
      </w:pPr>
    </w:p>
    <w:p w:rsidR="008A2290" w:rsidRDefault="008A2290" w:rsidP="008A2290">
      <w:pPr>
        <w:rPr>
          <w:i/>
          <w:color w:val="7030A0"/>
        </w:rPr>
      </w:pPr>
      <w:r>
        <w:rPr>
          <w:i/>
          <w:color w:val="7030A0"/>
        </w:rPr>
        <w:t xml:space="preserve">Section </w:t>
      </w:r>
      <w:r w:rsidR="00F9256E">
        <w:rPr>
          <w:i/>
          <w:color w:val="7030A0"/>
        </w:rPr>
        <w:t>2</w:t>
      </w:r>
      <w:r>
        <w:rPr>
          <w:i/>
          <w:color w:val="7030A0"/>
        </w:rPr>
        <w:t xml:space="preserve">: </w:t>
      </w:r>
      <w:r w:rsidR="00F9256E">
        <w:rPr>
          <w:i/>
          <w:color w:val="7030A0"/>
        </w:rPr>
        <w:t>Duty of Care</w:t>
      </w:r>
      <w:r w:rsidR="00E57C78">
        <w:rPr>
          <w:i/>
          <w:color w:val="7030A0"/>
        </w:rPr>
        <w:t>, page 1</w:t>
      </w:r>
      <w:r w:rsidR="00D57BB3">
        <w:rPr>
          <w:i/>
          <w:color w:val="7030A0"/>
        </w:rPr>
        <w:t>7</w:t>
      </w:r>
    </w:p>
    <w:p w:rsidR="00A6136C" w:rsidRPr="00F9256E" w:rsidRDefault="00F9256E" w:rsidP="00F9256E">
      <w:r w:rsidRPr="00F9256E">
        <w:t>All waste holders must take all reasonable steps to prevent the escape of waste from their site.</w:t>
      </w:r>
    </w:p>
    <w:p w:rsidR="00F9256E" w:rsidRDefault="00F9256E" w:rsidP="00F9256E">
      <w:r w:rsidRPr="00F9256E">
        <w:t xml:space="preserve">Organisations are responsible for dealing with any waste they produce. These organisations are responsible for ensuring the person that collects the waste is a registered waste carrier taking the waste to a legitimate </w:t>
      </w:r>
      <w:r w:rsidR="00B66D9F">
        <w:t>s</w:t>
      </w:r>
      <w:r w:rsidRPr="00F9256E">
        <w:t>ite for recovery or disposal.</w:t>
      </w:r>
    </w:p>
    <w:p w:rsidR="007F566C" w:rsidRDefault="007F566C" w:rsidP="007F566C">
      <w:pPr>
        <w:rPr>
          <w:i/>
          <w:color w:val="7030A0"/>
        </w:rPr>
      </w:pPr>
      <w:r>
        <w:rPr>
          <w:i/>
          <w:color w:val="7030A0"/>
        </w:rPr>
        <w:t>Section 3: Common Hazardous Wastes, page 2</w:t>
      </w:r>
      <w:r w:rsidR="00D57BB3">
        <w:rPr>
          <w:i/>
          <w:color w:val="7030A0"/>
        </w:rPr>
        <w:t>2</w:t>
      </w:r>
    </w:p>
    <w:p w:rsidR="007F566C" w:rsidRPr="007F566C" w:rsidRDefault="007F566C" w:rsidP="007F566C">
      <w:r>
        <w:t>The following entry has been added to the table of common types of hazardous wastes: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90"/>
      </w:tblGrid>
      <w:tr w:rsidR="007F566C" w:rsidRPr="00D13AC6" w:rsidTr="007F566C">
        <w:tc>
          <w:tcPr>
            <w:tcW w:w="2977" w:type="dxa"/>
            <w:shd w:val="clear" w:color="auto" w:fill="7030A0"/>
          </w:tcPr>
          <w:p w:rsidR="007F566C" w:rsidRPr="005B586C" w:rsidRDefault="007F566C" w:rsidP="007F566C">
            <w:pPr>
              <w:spacing w:after="0" w:line="240" w:lineRule="auto"/>
              <w:rPr>
                <w:b/>
                <w:color w:val="FFFFFF" w:themeColor="background1"/>
              </w:rPr>
            </w:pPr>
            <w:r w:rsidRPr="005B586C">
              <w:rPr>
                <w:b/>
                <w:color w:val="FFFFFF" w:themeColor="background1"/>
              </w:rPr>
              <w:t xml:space="preserve">Hazardous Waste </w:t>
            </w:r>
          </w:p>
        </w:tc>
        <w:tc>
          <w:tcPr>
            <w:tcW w:w="1290" w:type="dxa"/>
            <w:shd w:val="clear" w:color="auto" w:fill="7030A0"/>
          </w:tcPr>
          <w:p w:rsidR="007F566C" w:rsidRPr="005B586C" w:rsidRDefault="007F566C" w:rsidP="007F566C">
            <w:pPr>
              <w:spacing w:after="0" w:line="240" w:lineRule="auto"/>
              <w:jc w:val="center"/>
              <w:rPr>
                <w:b/>
                <w:color w:val="FFFFFF" w:themeColor="background1"/>
              </w:rPr>
            </w:pPr>
            <w:r w:rsidRPr="005B586C">
              <w:rPr>
                <w:b/>
                <w:color w:val="FFFFFF" w:themeColor="background1"/>
              </w:rPr>
              <w:t>EWC</w:t>
            </w:r>
          </w:p>
        </w:tc>
      </w:tr>
      <w:tr w:rsidR="007F566C" w:rsidRPr="00D13AC6" w:rsidTr="007F566C">
        <w:trPr>
          <w:trHeight w:val="553"/>
        </w:trPr>
        <w:tc>
          <w:tcPr>
            <w:tcW w:w="2977" w:type="dxa"/>
            <w:vMerge w:val="restart"/>
            <w:shd w:val="clear" w:color="auto" w:fill="auto"/>
          </w:tcPr>
          <w:p w:rsidR="007F566C" w:rsidRPr="00D13AC6" w:rsidRDefault="007F566C" w:rsidP="007F566C">
            <w:pPr>
              <w:spacing w:after="0" w:line="240" w:lineRule="auto"/>
            </w:pPr>
            <w:r>
              <w:t>Wastes whose collection and disposal is subject to special requirements in order to prevent infection.</w:t>
            </w:r>
          </w:p>
        </w:tc>
        <w:tc>
          <w:tcPr>
            <w:tcW w:w="1290" w:type="dxa"/>
          </w:tcPr>
          <w:p w:rsidR="007F566C" w:rsidRPr="00D13AC6" w:rsidRDefault="007F566C" w:rsidP="007F566C">
            <w:pPr>
              <w:spacing w:after="0" w:line="240" w:lineRule="auto"/>
              <w:jc w:val="center"/>
            </w:pPr>
            <w:r>
              <w:t>18 01 03*</w:t>
            </w:r>
          </w:p>
        </w:tc>
      </w:tr>
      <w:tr w:rsidR="007F566C" w:rsidRPr="00D13AC6" w:rsidTr="007F566C">
        <w:tc>
          <w:tcPr>
            <w:tcW w:w="2977" w:type="dxa"/>
            <w:vMerge/>
            <w:shd w:val="clear" w:color="auto" w:fill="auto"/>
          </w:tcPr>
          <w:p w:rsidR="007F566C" w:rsidRPr="00D13AC6" w:rsidRDefault="007F566C" w:rsidP="007F566C">
            <w:pPr>
              <w:spacing w:after="0" w:line="240" w:lineRule="auto"/>
            </w:pPr>
          </w:p>
        </w:tc>
        <w:tc>
          <w:tcPr>
            <w:tcW w:w="1290" w:type="dxa"/>
          </w:tcPr>
          <w:p w:rsidR="007F566C" w:rsidRPr="00D13AC6" w:rsidRDefault="007F566C" w:rsidP="007F566C">
            <w:pPr>
              <w:spacing w:after="0" w:line="240" w:lineRule="auto"/>
              <w:jc w:val="center"/>
            </w:pPr>
            <w:r>
              <w:t>18 02 02*</w:t>
            </w:r>
          </w:p>
        </w:tc>
      </w:tr>
    </w:tbl>
    <w:p w:rsidR="007F566C" w:rsidRPr="00F9256E" w:rsidRDefault="007F566C" w:rsidP="00F9256E"/>
    <w:p w:rsidR="00F9256E" w:rsidRDefault="00F9256E" w:rsidP="00F9256E">
      <w:pPr>
        <w:rPr>
          <w:i/>
          <w:color w:val="7030A0"/>
        </w:rPr>
      </w:pPr>
      <w:r>
        <w:rPr>
          <w:i/>
          <w:color w:val="7030A0"/>
        </w:rPr>
        <w:t xml:space="preserve">NEW Learning Outcome 3.4 Know the authorisations that may be required for the carriage of hazardous waste. </w:t>
      </w:r>
    </w:p>
    <w:p w:rsidR="007F566C" w:rsidRDefault="007F566C" w:rsidP="007F566C">
      <w:pPr>
        <w:rPr>
          <w:i/>
          <w:color w:val="7030A0"/>
        </w:rPr>
      </w:pPr>
      <w:r>
        <w:rPr>
          <w:i/>
          <w:color w:val="7030A0"/>
        </w:rPr>
        <w:t>Section 4: Purpose and Application, page 2</w:t>
      </w:r>
      <w:r w:rsidR="00D57BB3">
        <w:rPr>
          <w:i/>
          <w:color w:val="7030A0"/>
        </w:rPr>
        <w:t>7</w:t>
      </w:r>
    </w:p>
    <w:p w:rsidR="00F9256E" w:rsidRPr="007F566C" w:rsidRDefault="007F566C" w:rsidP="007F566C">
      <w:pPr>
        <w:spacing w:line="240" w:lineRule="auto"/>
        <w:rPr>
          <w:color w:val="000000" w:themeColor="text1"/>
        </w:rPr>
      </w:pPr>
      <w:r w:rsidRPr="007F566C">
        <w:rPr>
          <w:color w:val="000000" w:themeColor="text1"/>
        </w:rPr>
        <w:t>You may need to apply to the Regulator for an environmental permit if your business uses, recycles, treats, stores or disposes of waste that could cause pollution, increased risk of flooding or adversely affect land drainage.</w:t>
      </w:r>
    </w:p>
    <w:p w:rsidR="007F566C" w:rsidRDefault="007F566C" w:rsidP="007F566C">
      <w:pPr>
        <w:rPr>
          <w:i/>
          <w:color w:val="7030A0"/>
        </w:rPr>
      </w:pPr>
      <w:r>
        <w:rPr>
          <w:i/>
          <w:color w:val="7030A0"/>
        </w:rPr>
        <w:t>Section 4: Environmental Permi</w:t>
      </w:r>
      <w:r w:rsidR="00D57BB3">
        <w:rPr>
          <w:i/>
          <w:color w:val="7030A0"/>
        </w:rPr>
        <w:t>ts, page 30</w:t>
      </w:r>
    </w:p>
    <w:p w:rsidR="00C70C5B" w:rsidRDefault="007F566C" w:rsidP="007F566C">
      <w:pPr>
        <w:spacing w:line="240" w:lineRule="auto"/>
      </w:pPr>
      <w:r>
        <w:t xml:space="preserve">An operator can transfer a permit or part of a permit to somebody else at any time. The person who wants to take over the permit must meet the competency requirements for </w:t>
      </w:r>
    </w:p>
    <w:p w:rsidR="00C70C5B" w:rsidRDefault="00C70C5B" w:rsidP="007F566C">
      <w:pPr>
        <w:spacing w:line="240" w:lineRule="auto"/>
      </w:pPr>
    </w:p>
    <w:p w:rsidR="007F566C" w:rsidRPr="00C55AE6" w:rsidRDefault="007F566C" w:rsidP="007F566C">
      <w:pPr>
        <w:spacing w:line="240" w:lineRule="auto"/>
      </w:pPr>
      <w:r>
        <w:t>being a legal operator, and must complete part A and part D2 of the environmental permit application form.</w:t>
      </w:r>
    </w:p>
    <w:p w:rsidR="007F566C" w:rsidRPr="007F566C" w:rsidRDefault="007F566C" w:rsidP="007F566C">
      <w:r w:rsidRPr="007F566C">
        <w:t xml:space="preserve">If you would like to make changes to your permit (e.g. to do an activity that is not currently covered by your permit) you need to apply for a variation. However, it is important to remember that apart from some minor administrative changes, the rules in a Standard Rules Permit cannot be varied. </w:t>
      </w:r>
    </w:p>
    <w:p w:rsidR="00F9256E" w:rsidRDefault="00F9256E" w:rsidP="00F9256E">
      <w:pPr>
        <w:rPr>
          <w:i/>
          <w:color w:val="7030A0"/>
        </w:rPr>
      </w:pPr>
      <w:r>
        <w:rPr>
          <w:i/>
          <w:color w:val="7030A0"/>
        </w:rPr>
        <w:t xml:space="preserve">NEW Learning Outcome </w:t>
      </w:r>
      <w:r w:rsidR="007F566C">
        <w:rPr>
          <w:i/>
          <w:color w:val="7030A0"/>
        </w:rPr>
        <w:t>(page 3</w:t>
      </w:r>
      <w:r w:rsidR="00D57BB3">
        <w:rPr>
          <w:i/>
          <w:color w:val="7030A0"/>
        </w:rPr>
        <w:t>1)</w:t>
      </w:r>
      <w:r w:rsidR="007F566C">
        <w:rPr>
          <w:i/>
          <w:color w:val="7030A0"/>
        </w:rPr>
        <w:t xml:space="preserve"> </w:t>
      </w:r>
      <w:r>
        <w:rPr>
          <w:i/>
          <w:color w:val="7030A0"/>
        </w:rPr>
        <w:t xml:space="preserve">4.8 Know the significance of not complying with the exemption criteria. </w:t>
      </w:r>
    </w:p>
    <w:p w:rsidR="00D57BB3" w:rsidRDefault="007F566C" w:rsidP="007F566C">
      <w:pPr>
        <w:rPr>
          <w:i/>
          <w:color w:val="7030A0"/>
        </w:rPr>
      </w:pPr>
      <w:r>
        <w:rPr>
          <w:i/>
          <w:color w:val="7030A0"/>
        </w:rPr>
        <w:t>Section 4: Operator Competence, page 3</w:t>
      </w:r>
      <w:r w:rsidR="00D57BB3">
        <w:rPr>
          <w:i/>
          <w:color w:val="7030A0"/>
        </w:rPr>
        <w:t>1</w:t>
      </w:r>
    </w:p>
    <w:p w:rsidR="007F566C" w:rsidRDefault="007F566C" w:rsidP="007F566C">
      <w:pPr>
        <w:rPr>
          <w:color w:val="000000" w:themeColor="text1"/>
        </w:rPr>
      </w:pPr>
      <w:r>
        <w:rPr>
          <w:color w:val="000000" w:themeColor="text1"/>
        </w:rPr>
        <w:t>The temporary storage of waste pending collection does not need a permit or exemption; however, the storage must still comply with the conditions of the operation.</w:t>
      </w:r>
    </w:p>
    <w:p w:rsidR="007F566C" w:rsidRPr="007F566C" w:rsidRDefault="007F566C" w:rsidP="007F566C">
      <w:r w:rsidRPr="007F566C">
        <w:t>The criteria for an exempt activity are outlined in the Environmental Permitting Regulations.</w:t>
      </w:r>
    </w:p>
    <w:p w:rsidR="007F566C" w:rsidRPr="00D30CEA" w:rsidRDefault="007F566C" w:rsidP="007F566C">
      <w:pPr>
        <w:rPr>
          <w:color w:val="000000" w:themeColor="text1"/>
        </w:rPr>
      </w:pPr>
      <w:r>
        <w:rPr>
          <w:color w:val="000000" w:themeColor="text1"/>
        </w:rPr>
        <w:t>An environmental permit requires operators to have (and make available to key stakeholders such as staff, the regulator, neighbours and the local community) a written management system outlining a set of procedures for minimising the risk of pollution from activities.</w:t>
      </w:r>
    </w:p>
    <w:p w:rsidR="007F566C" w:rsidRDefault="00C70C5B" w:rsidP="007F566C">
      <w:pPr>
        <w:rPr>
          <w:i/>
          <w:color w:val="7030A0"/>
        </w:rPr>
      </w:pPr>
      <w:r>
        <w:rPr>
          <w:noProof/>
          <w:lang w:eastAsia="en-GB"/>
        </w:rPr>
        <w:drawing>
          <wp:anchor distT="0" distB="0" distL="114300" distR="114300" simplePos="0" relativeHeight="251658240" behindDoc="0" locked="0" layoutInCell="1" allowOverlap="1" wp14:anchorId="23DE7029" wp14:editId="2781A286">
            <wp:simplePos x="0" y="0"/>
            <wp:positionH relativeFrom="column">
              <wp:posOffset>138430</wp:posOffset>
            </wp:positionH>
            <wp:positionV relativeFrom="paragraph">
              <wp:posOffset>152400</wp:posOffset>
            </wp:positionV>
            <wp:extent cx="2383790" cy="2026285"/>
            <wp:effectExtent l="323850" t="266700" r="378460" b="297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Files Small.jpg"/>
                    <pic:cNvPicPr/>
                  </pic:nvPicPr>
                  <pic:blipFill>
                    <a:blip r:embed="rId9" cstate="print">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2383790" cy="20262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F9256E" w:rsidRPr="00F9256E" w:rsidRDefault="00F9256E" w:rsidP="00F9256E">
      <w:bookmarkStart w:id="0" w:name="_GoBack"/>
      <w:bookmarkEnd w:id="0"/>
    </w:p>
    <w:p w:rsidR="00F9256E" w:rsidRDefault="00F9256E" w:rsidP="00972763"/>
    <w:p w:rsidR="00F9256E" w:rsidRDefault="00F9256E" w:rsidP="00972763">
      <w:pPr>
        <w:sectPr w:rsidR="00F9256E" w:rsidSect="00033393">
          <w:headerReference w:type="default" r:id="rId11"/>
          <w:footerReference w:type="default" r:id="rId12"/>
          <w:pgSz w:w="11906" w:h="16838"/>
          <w:pgMar w:top="1440" w:right="1440" w:bottom="1440" w:left="1440" w:header="708" w:footer="708" w:gutter="0"/>
          <w:cols w:num="2" w:space="708"/>
          <w:docGrid w:linePitch="360"/>
        </w:sectPr>
      </w:pPr>
    </w:p>
    <w:p w:rsidR="009B5506" w:rsidRDefault="009B5506" w:rsidP="009253D5">
      <w:pPr>
        <w:spacing w:before="240" w:after="0"/>
        <w:rPr>
          <w:i/>
          <w:color w:val="7030A0"/>
        </w:rPr>
      </w:pPr>
    </w:p>
    <w:p w:rsidR="00C02BF3" w:rsidRPr="00C02BF3" w:rsidRDefault="00C02BF3" w:rsidP="00C02BF3">
      <w:pPr>
        <w:rPr>
          <w:i/>
          <w:color w:val="7030A0"/>
        </w:rPr>
      </w:pPr>
      <w:r>
        <w:rPr>
          <w:i/>
          <w:color w:val="7030A0"/>
        </w:rPr>
        <w:t>Revised List of Sources</w:t>
      </w:r>
    </w:p>
    <w:tbl>
      <w:tblPr>
        <w:tblStyle w:val="TableGrid"/>
        <w:tblW w:w="5000" w:type="pct"/>
        <w:tblLayout w:type="fixed"/>
        <w:tblLook w:val="04A0" w:firstRow="1" w:lastRow="0" w:firstColumn="1" w:lastColumn="0" w:noHBand="0" w:noVBand="1"/>
      </w:tblPr>
      <w:tblGrid>
        <w:gridCol w:w="817"/>
        <w:gridCol w:w="3558"/>
      </w:tblGrid>
      <w:tr w:rsidR="009253D5" w:rsidRPr="009034A1" w:rsidTr="009253D5">
        <w:tc>
          <w:tcPr>
            <w:tcW w:w="934" w:type="pct"/>
            <w:shd w:val="clear" w:color="auto" w:fill="7030A0"/>
          </w:tcPr>
          <w:p w:rsidR="009253D5" w:rsidRPr="009253D5" w:rsidRDefault="009253D5" w:rsidP="00D36018">
            <w:pPr>
              <w:spacing w:after="120"/>
              <w:rPr>
                <w:b/>
                <w:color w:val="FFFFFF" w:themeColor="background1"/>
                <w:szCs w:val="20"/>
              </w:rPr>
            </w:pPr>
            <w:r w:rsidRPr="009253D5">
              <w:rPr>
                <w:b/>
                <w:color w:val="FFFFFF" w:themeColor="background1"/>
                <w:szCs w:val="20"/>
              </w:rPr>
              <w:t>Page</w:t>
            </w:r>
          </w:p>
        </w:tc>
        <w:tc>
          <w:tcPr>
            <w:tcW w:w="4066" w:type="pct"/>
            <w:shd w:val="clear" w:color="auto" w:fill="7030A0"/>
          </w:tcPr>
          <w:p w:rsidR="009253D5" w:rsidRPr="009253D5" w:rsidRDefault="009253D5" w:rsidP="00D36018">
            <w:pPr>
              <w:spacing w:after="120"/>
              <w:rPr>
                <w:b/>
                <w:color w:val="FFFFFF" w:themeColor="background1"/>
                <w:szCs w:val="20"/>
              </w:rPr>
            </w:pPr>
            <w:r w:rsidRPr="009253D5">
              <w:rPr>
                <w:b/>
                <w:color w:val="FFFFFF" w:themeColor="background1"/>
                <w:szCs w:val="20"/>
              </w:rPr>
              <w:t>Source</w:t>
            </w:r>
          </w:p>
        </w:tc>
      </w:tr>
      <w:tr w:rsidR="009253D5" w:rsidTr="009253D5">
        <w:tc>
          <w:tcPr>
            <w:tcW w:w="934" w:type="pct"/>
          </w:tcPr>
          <w:p w:rsidR="009253D5" w:rsidRPr="009253D5" w:rsidRDefault="009253D5" w:rsidP="00D36018">
            <w:pPr>
              <w:spacing w:after="120"/>
              <w:rPr>
                <w:szCs w:val="20"/>
              </w:rPr>
            </w:pPr>
            <w:r w:rsidRPr="009253D5">
              <w:rPr>
                <w:szCs w:val="20"/>
              </w:rPr>
              <w:t>12,22,23</w:t>
            </w:r>
          </w:p>
        </w:tc>
        <w:tc>
          <w:tcPr>
            <w:tcW w:w="4066" w:type="pct"/>
          </w:tcPr>
          <w:p w:rsidR="009253D5" w:rsidRPr="0042654B" w:rsidRDefault="00DE56B6" w:rsidP="009253D5">
            <w:hyperlink r:id="rId13" w:history="1">
              <w:r w:rsidR="009253D5" w:rsidRPr="009253D5">
                <w:rPr>
                  <w:rStyle w:val="Hyperlink"/>
                </w:rPr>
                <w:t>Environment Agency (2015) Waste Classification – Technical Guidance WM3</w:t>
              </w:r>
            </w:hyperlink>
            <w:r w:rsidR="009253D5" w:rsidRPr="00727BE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12,13,18</w:t>
            </w:r>
          </w:p>
        </w:tc>
        <w:tc>
          <w:tcPr>
            <w:tcW w:w="4066" w:type="pct"/>
          </w:tcPr>
          <w:p w:rsidR="009253D5" w:rsidRPr="00727BEB" w:rsidRDefault="00DE56B6" w:rsidP="009253D5">
            <w:pPr>
              <w:rPr>
                <w:color w:val="7030A0"/>
              </w:rPr>
            </w:pPr>
            <w:hyperlink r:id="rId14" w:history="1">
              <w:r w:rsidR="009253D5" w:rsidRPr="009253D5">
                <w:rPr>
                  <w:rStyle w:val="Hyperlink"/>
                </w:rPr>
                <w:t>The Waste (England and Wales) Regulations 2011</w:t>
              </w:r>
            </w:hyperlink>
            <w:r w:rsidR="009253D5">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13</w:t>
            </w:r>
          </w:p>
        </w:tc>
        <w:tc>
          <w:tcPr>
            <w:tcW w:w="4066" w:type="pct"/>
          </w:tcPr>
          <w:p w:rsidR="009253D5" w:rsidRPr="0042654B" w:rsidRDefault="00DE56B6" w:rsidP="009253D5">
            <w:hyperlink r:id="rId15" w:history="1">
              <w:r w:rsidR="009253D5" w:rsidRPr="009253D5">
                <w:rPr>
                  <w:rStyle w:val="Hyperlink"/>
                </w:rPr>
                <w:t>Environment Agency (2011) Treatment of Waste for Landfill</w:t>
              </w:r>
            </w:hyperlink>
          </w:p>
        </w:tc>
      </w:tr>
      <w:tr w:rsidR="009253D5" w:rsidTr="009253D5">
        <w:tc>
          <w:tcPr>
            <w:tcW w:w="934" w:type="pct"/>
          </w:tcPr>
          <w:p w:rsidR="009253D5" w:rsidRPr="009253D5" w:rsidRDefault="009253D5" w:rsidP="00D36018">
            <w:pPr>
              <w:spacing w:after="120"/>
              <w:rPr>
                <w:szCs w:val="20"/>
              </w:rPr>
            </w:pPr>
            <w:r w:rsidRPr="009253D5">
              <w:rPr>
                <w:szCs w:val="20"/>
              </w:rPr>
              <w:t>13</w:t>
            </w:r>
          </w:p>
        </w:tc>
        <w:tc>
          <w:tcPr>
            <w:tcW w:w="4066" w:type="pct"/>
          </w:tcPr>
          <w:p w:rsidR="009253D5" w:rsidRPr="0042654B" w:rsidRDefault="00DE56B6" w:rsidP="009253D5">
            <w:hyperlink r:id="rId16" w:history="1">
              <w:r w:rsidR="009253D5" w:rsidRPr="009253D5">
                <w:rPr>
                  <w:rStyle w:val="Hyperlink"/>
                </w:rPr>
                <w:t>Environment Agency (2010) Waste acceptance at landfills</w:t>
              </w:r>
            </w:hyperlink>
            <w:r w:rsidR="009253D5" w:rsidRPr="00727BE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16,18</w:t>
            </w:r>
          </w:p>
        </w:tc>
        <w:tc>
          <w:tcPr>
            <w:tcW w:w="4066" w:type="pct"/>
          </w:tcPr>
          <w:p w:rsidR="009253D5" w:rsidRPr="00A42A18" w:rsidRDefault="00DE56B6" w:rsidP="009253D5">
            <w:pPr>
              <w:pStyle w:val="Quick"/>
              <w:ind w:left="0" w:firstLine="0"/>
              <w:rPr>
                <w:rFonts w:ascii="Arial" w:hAnsi="Arial" w:cs="Arial"/>
                <w:sz w:val="20"/>
              </w:rPr>
            </w:pPr>
            <w:hyperlink r:id="rId17" w:history="1">
              <w:r w:rsidR="009253D5" w:rsidRPr="009253D5">
                <w:rPr>
                  <w:rStyle w:val="Hyperlink"/>
                  <w:rFonts w:ascii="Arial" w:hAnsi="Arial" w:cs="Arial"/>
                  <w:sz w:val="20"/>
                </w:rPr>
                <w:t>DEFRA (2018) Waste duty of care code of practice</w:t>
              </w:r>
            </w:hyperlink>
            <w:r w:rsidR="009253D5" w:rsidRPr="00727BEB">
              <w:rPr>
                <w:rFonts w:ascii="Arial" w:hAnsi="Arial" w:cs="Arial"/>
                <w:color w:val="7030A0"/>
                <w:sz w:val="2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17</w:t>
            </w:r>
          </w:p>
        </w:tc>
        <w:tc>
          <w:tcPr>
            <w:tcW w:w="4066" w:type="pct"/>
          </w:tcPr>
          <w:p w:rsidR="009253D5" w:rsidRPr="009253D5" w:rsidRDefault="00DE56B6" w:rsidP="00D36018">
            <w:pPr>
              <w:rPr>
                <w:color w:val="7030A0"/>
              </w:rPr>
            </w:pPr>
            <w:hyperlink r:id="rId18" w:history="1">
              <w:r w:rsidR="009253D5" w:rsidRPr="009253D5">
                <w:rPr>
                  <w:rStyle w:val="Hyperlink"/>
                </w:rPr>
                <w:t>GOV.UK (2016) Non-hazardous waste</w:t>
              </w:r>
            </w:hyperlink>
          </w:p>
        </w:tc>
      </w:tr>
      <w:tr w:rsidR="009253D5" w:rsidTr="009253D5">
        <w:tc>
          <w:tcPr>
            <w:tcW w:w="934" w:type="pct"/>
          </w:tcPr>
          <w:p w:rsidR="009253D5" w:rsidRPr="009253D5" w:rsidRDefault="009253D5" w:rsidP="00D36018">
            <w:pPr>
              <w:spacing w:after="120"/>
              <w:rPr>
                <w:szCs w:val="20"/>
              </w:rPr>
            </w:pPr>
            <w:r w:rsidRPr="009253D5">
              <w:rPr>
                <w:szCs w:val="20"/>
              </w:rPr>
              <w:t>17</w:t>
            </w:r>
          </w:p>
        </w:tc>
        <w:tc>
          <w:tcPr>
            <w:tcW w:w="4066" w:type="pct"/>
          </w:tcPr>
          <w:p w:rsidR="009253D5" w:rsidRPr="00727BEB" w:rsidRDefault="00DE56B6" w:rsidP="009253D5">
            <w:pPr>
              <w:rPr>
                <w:color w:val="7030A0"/>
              </w:rPr>
            </w:pPr>
            <w:hyperlink r:id="rId19" w:history="1">
              <w:r w:rsidR="009253D5" w:rsidRPr="009253D5">
                <w:rPr>
                  <w:rStyle w:val="Hyperlink"/>
                </w:rPr>
                <w:t>Environment Agency (2014) Waste Transfer from January 2014 (</w:t>
              </w:r>
              <w:proofErr w:type="spellStart"/>
              <w:r w:rsidR="009253D5" w:rsidRPr="009253D5">
                <w:rPr>
                  <w:rStyle w:val="Hyperlink"/>
                </w:rPr>
                <w:t>edoc</w:t>
              </w:r>
              <w:proofErr w:type="spellEnd"/>
              <w:r w:rsidR="009253D5" w:rsidRPr="009253D5">
                <w:rPr>
                  <w:rStyle w:val="Hyperlink"/>
                </w:rPr>
                <w:t>)</w:t>
              </w:r>
            </w:hyperlink>
          </w:p>
        </w:tc>
      </w:tr>
      <w:tr w:rsidR="009253D5" w:rsidTr="009253D5">
        <w:tc>
          <w:tcPr>
            <w:tcW w:w="934" w:type="pct"/>
          </w:tcPr>
          <w:p w:rsidR="009253D5" w:rsidRPr="009253D5" w:rsidRDefault="009253D5" w:rsidP="00D36018">
            <w:pPr>
              <w:spacing w:after="120"/>
              <w:rPr>
                <w:szCs w:val="20"/>
              </w:rPr>
            </w:pPr>
            <w:r w:rsidRPr="009253D5">
              <w:rPr>
                <w:szCs w:val="20"/>
              </w:rPr>
              <w:t>23</w:t>
            </w:r>
          </w:p>
        </w:tc>
        <w:tc>
          <w:tcPr>
            <w:tcW w:w="4066" w:type="pct"/>
          </w:tcPr>
          <w:p w:rsidR="009253D5" w:rsidRPr="009253D5" w:rsidRDefault="00DE56B6" w:rsidP="00D36018">
            <w:pPr>
              <w:rPr>
                <w:color w:val="7030A0"/>
              </w:rPr>
            </w:pPr>
            <w:hyperlink r:id="rId20" w:history="1">
              <w:r w:rsidR="009253D5" w:rsidRPr="009253D5">
                <w:rPr>
                  <w:rStyle w:val="Hyperlink"/>
                </w:rPr>
                <w:t>GOV.UK (2019) Hazardous Waste – Producers and Holders</w:t>
              </w:r>
            </w:hyperlink>
          </w:p>
        </w:tc>
      </w:tr>
      <w:tr w:rsidR="009253D5" w:rsidTr="009253D5">
        <w:tc>
          <w:tcPr>
            <w:tcW w:w="934" w:type="pct"/>
          </w:tcPr>
          <w:p w:rsidR="009253D5" w:rsidRPr="009253D5" w:rsidRDefault="009253D5" w:rsidP="00D36018">
            <w:pPr>
              <w:spacing w:after="120"/>
              <w:rPr>
                <w:szCs w:val="20"/>
              </w:rPr>
            </w:pPr>
            <w:r w:rsidRPr="009253D5">
              <w:rPr>
                <w:szCs w:val="20"/>
              </w:rPr>
              <w:t>26,29</w:t>
            </w:r>
          </w:p>
        </w:tc>
        <w:tc>
          <w:tcPr>
            <w:tcW w:w="4066" w:type="pct"/>
          </w:tcPr>
          <w:p w:rsidR="009253D5" w:rsidRPr="0042654B" w:rsidRDefault="00DE56B6" w:rsidP="009253D5">
            <w:hyperlink r:id="rId21" w:history="1">
              <w:r w:rsidR="009253D5" w:rsidRPr="009253D5">
                <w:rPr>
                  <w:rStyle w:val="Hyperlink"/>
                </w:rPr>
                <w:t>Environment Agency (2018) Application for an environmental permit: Part D2</w:t>
              </w:r>
            </w:hyperlink>
            <w:r w:rsidR="009253D5" w:rsidRPr="00727BE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26</w:t>
            </w:r>
          </w:p>
        </w:tc>
        <w:tc>
          <w:tcPr>
            <w:tcW w:w="4066" w:type="pct"/>
          </w:tcPr>
          <w:p w:rsidR="009253D5" w:rsidRPr="0042654B" w:rsidRDefault="00DE56B6" w:rsidP="009253D5">
            <w:hyperlink r:id="rId22" w:history="1">
              <w:r w:rsidR="009253D5" w:rsidRPr="009253D5">
                <w:rPr>
                  <w:rStyle w:val="Hyperlink"/>
                </w:rPr>
                <w:t>GOV.UK (2019) Check if you need an environmental permit</w:t>
              </w:r>
            </w:hyperlink>
            <w:r w:rsidR="009253D5" w:rsidRPr="00727BE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28,30</w:t>
            </w:r>
          </w:p>
        </w:tc>
        <w:tc>
          <w:tcPr>
            <w:tcW w:w="4066" w:type="pct"/>
          </w:tcPr>
          <w:p w:rsidR="009253D5" w:rsidRPr="0078690D" w:rsidRDefault="00DE56B6" w:rsidP="009253D5">
            <w:hyperlink r:id="rId23" w:history="1">
              <w:r w:rsidR="009253D5" w:rsidRPr="009253D5">
                <w:rPr>
                  <w:rStyle w:val="Hyperlink"/>
                </w:rPr>
                <w:t>Environmental Permitting (England and Wales) Regulations 2016</w:t>
              </w:r>
            </w:hyperlink>
            <w:r w:rsidR="009253D5">
              <w:t xml:space="preserve"> </w:t>
            </w:r>
          </w:p>
        </w:tc>
      </w:tr>
      <w:tr w:rsidR="009253D5" w:rsidTr="009253D5">
        <w:tc>
          <w:tcPr>
            <w:tcW w:w="934" w:type="pct"/>
          </w:tcPr>
          <w:p w:rsidR="009253D5" w:rsidRPr="009253D5" w:rsidRDefault="009253D5" w:rsidP="00D36018">
            <w:pPr>
              <w:spacing w:after="120"/>
              <w:rPr>
                <w:szCs w:val="20"/>
              </w:rPr>
            </w:pPr>
            <w:r w:rsidRPr="009253D5">
              <w:rPr>
                <w:szCs w:val="20"/>
              </w:rPr>
              <w:t>28</w:t>
            </w:r>
          </w:p>
        </w:tc>
        <w:tc>
          <w:tcPr>
            <w:tcW w:w="4066" w:type="pct"/>
          </w:tcPr>
          <w:p w:rsidR="009253D5" w:rsidRPr="0042654B" w:rsidRDefault="00DE56B6" w:rsidP="009253D5">
            <w:hyperlink r:id="rId24" w:history="1">
              <w:r w:rsidR="009253D5" w:rsidRPr="009253D5">
                <w:rPr>
                  <w:rStyle w:val="Hyperlink"/>
                </w:rPr>
                <w:t>Environment Agency (2015) Enforcement and Sanctions Guidance</w:t>
              </w:r>
            </w:hyperlink>
            <w:r w:rsidR="009253D5" w:rsidRPr="00B5731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28</w:t>
            </w:r>
          </w:p>
        </w:tc>
        <w:tc>
          <w:tcPr>
            <w:tcW w:w="4066" w:type="pct"/>
          </w:tcPr>
          <w:p w:rsidR="009253D5" w:rsidRPr="0042654B" w:rsidRDefault="00DE56B6" w:rsidP="009253D5">
            <w:hyperlink r:id="rId25" w:history="1">
              <w:r w:rsidR="009253D5" w:rsidRPr="009253D5">
                <w:rPr>
                  <w:rStyle w:val="Hyperlink"/>
                </w:rPr>
                <w:t>Sentencing Council (2014) Environmental Offences: Definitive Guideline</w:t>
              </w:r>
            </w:hyperlink>
            <w:r w:rsidR="009253D5" w:rsidRPr="00B5731B">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29</w:t>
            </w:r>
          </w:p>
        </w:tc>
        <w:tc>
          <w:tcPr>
            <w:tcW w:w="4066" w:type="pct"/>
          </w:tcPr>
          <w:p w:rsidR="009253D5" w:rsidRPr="00B5731B" w:rsidRDefault="00DE56B6" w:rsidP="009253D5">
            <w:pPr>
              <w:rPr>
                <w:color w:val="7030A0"/>
              </w:rPr>
            </w:pPr>
            <w:hyperlink r:id="rId26" w:history="1">
              <w:r w:rsidR="009253D5" w:rsidRPr="009253D5">
                <w:rPr>
                  <w:rStyle w:val="Hyperlink"/>
                </w:rPr>
                <w:t>Environment Agency (2018) Application for an environmental permit part A</w:t>
              </w:r>
            </w:hyperlink>
            <w:r w:rsidR="009253D5">
              <w:rPr>
                <w:color w:val="7030A0"/>
              </w:rPr>
              <w:t xml:space="preserve"> </w:t>
            </w:r>
          </w:p>
        </w:tc>
      </w:tr>
      <w:tr w:rsidR="009253D5" w:rsidTr="009253D5">
        <w:tc>
          <w:tcPr>
            <w:tcW w:w="934" w:type="pct"/>
          </w:tcPr>
          <w:p w:rsidR="009253D5" w:rsidRPr="009253D5" w:rsidRDefault="009253D5" w:rsidP="00D36018">
            <w:pPr>
              <w:spacing w:after="120"/>
              <w:rPr>
                <w:szCs w:val="20"/>
              </w:rPr>
            </w:pPr>
            <w:r w:rsidRPr="009253D5">
              <w:rPr>
                <w:szCs w:val="20"/>
              </w:rPr>
              <w:t>29</w:t>
            </w:r>
          </w:p>
        </w:tc>
        <w:tc>
          <w:tcPr>
            <w:tcW w:w="4066" w:type="pct"/>
          </w:tcPr>
          <w:p w:rsidR="009253D5" w:rsidRPr="0042654B" w:rsidRDefault="00DE56B6" w:rsidP="009253D5">
            <w:hyperlink r:id="rId27" w:anchor="cancel-surrender-your-permit" w:history="1">
              <w:r w:rsidR="009253D5" w:rsidRPr="009253D5">
                <w:rPr>
                  <w:rStyle w:val="Hyperlink"/>
                </w:rPr>
                <w:t>Environment Agency (2016) Change, Transfer or cancel your environmental Permit</w:t>
              </w:r>
            </w:hyperlink>
            <w:r w:rsidR="009253D5">
              <w:t xml:space="preserve"> </w:t>
            </w:r>
          </w:p>
        </w:tc>
      </w:tr>
      <w:tr w:rsidR="009253D5" w:rsidTr="009253D5">
        <w:tc>
          <w:tcPr>
            <w:tcW w:w="934" w:type="pct"/>
          </w:tcPr>
          <w:p w:rsidR="009253D5" w:rsidRPr="009253D5" w:rsidRDefault="009253D5" w:rsidP="00D36018">
            <w:pPr>
              <w:spacing w:after="120"/>
              <w:rPr>
                <w:szCs w:val="20"/>
              </w:rPr>
            </w:pPr>
            <w:r w:rsidRPr="009253D5">
              <w:rPr>
                <w:szCs w:val="20"/>
              </w:rPr>
              <w:t>30</w:t>
            </w:r>
          </w:p>
        </w:tc>
        <w:tc>
          <w:tcPr>
            <w:tcW w:w="4066" w:type="pct"/>
          </w:tcPr>
          <w:p w:rsidR="009253D5" w:rsidRPr="00B5731B" w:rsidRDefault="00DE56B6" w:rsidP="009253D5">
            <w:hyperlink r:id="rId28" w:history="1">
              <w:r w:rsidR="009253D5" w:rsidRPr="009253D5">
                <w:rPr>
                  <w:rStyle w:val="Hyperlink"/>
                </w:rPr>
                <w:t>Environment Agency (2014) Waste exemptions: treating waste</w:t>
              </w:r>
            </w:hyperlink>
          </w:p>
        </w:tc>
      </w:tr>
      <w:tr w:rsidR="009253D5" w:rsidTr="009253D5">
        <w:tc>
          <w:tcPr>
            <w:tcW w:w="934" w:type="pct"/>
          </w:tcPr>
          <w:p w:rsidR="009253D5" w:rsidRPr="009253D5" w:rsidRDefault="009253D5" w:rsidP="00D36018">
            <w:pPr>
              <w:spacing w:after="120"/>
              <w:rPr>
                <w:szCs w:val="20"/>
              </w:rPr>
            </w:pPr>
            <w:r w:rsidRPr="009253D5">
              <w:rPr>
                <w:szCs w:val="20"/>
              </w:rPr>
              <w:t>30</w:t>
            </w:r>
          </w:p>
        </w:tc>
        <w:tc>
          <w:tcPr>
            <w:tcW w:w="4066" w:type="pct"/>
          </w:tcPr>
          <w:p w:rsidR="009253D5" w:rsidRPr="00B5731B" w:rsidRDefault="00DE56B6" w:rsidP="009253D5">
            <w:hyperlink r:id="rId29" w:history="1">
              <w:r w:rsidR="009253D5" w:rsidRPr="009253D5">
                <w:rPr>
                  <w:rStyle w:val="Hyperlink"/>
                </w:rPr>
                <w:t>DEFRA (2019) Develop a management system: environmental permits</w:t>
              </w:r>
            </w:hyperlink>
            <w:r w:rsidR="009253D5" w:rsidRPr="00B5731B">
              <w:t xml:space="preserve"> </w:t>
            </w:r>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6136C"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30"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6C" w:rsidRDefault="007F566C" w:rsidP="00033393">
      <w:pPr>
        <w:spacing w:after="0" w:line="240" w:lineRule="auto"/>
      </w:pPr>
      <w:r>
        <w:separator/>
      </w:r>
    </w:p>
  </w:endnote>
  <w:endnote w:type="continuationSeparator" w:id="0">
    <w:p w:rsidR="007F566C" w:rsidRDefault="007F566C"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7F566C" w:rsidRDefault="007F566C" w:rsidP="00FB3587">
            <w:pPr>
              <w:spacing w:after="0"/>
            </w:pPr>
            <w:r>
              <w:rPr>
                <w:noProof/>
                <w:lang w:eastAsia="en-GB"/>
              </w:rPr>
              <mc:AlternateContent>
                <mc:Choice Requires="wps">
                  <w:drawing>
                    <wp:anchor distT="0" distB="0" distL="114300" distR="114300" simplePos="0" relativeHeight="251661312" behindDoc="0" locked="0" layoutInCell="1" allowOverlap="1" wp14:anchorId="3708213B" wp14:editId="4DEFB504">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DE56B6">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DE56B6">
                          <w:rPr>
                            <w:b/>
                            <w:noProof/>
                          </w:rPr>
                          <w:t>2</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6C" w:rsidRDefault="007F566C" w:rsidP="00033393">
      <w:pPr>
        <w:spacing w:after="0" w:line="240" w:lineRule="auto"/>
      </w:pPr>
      <w:r>
        <w:separator/>
      </w:r>
    </w:p>
  </w:footnote>
  <w:footnote w:type="continuationSeparator" w:id="0">
    <w:p w:rsidR="007F566C" w:rsidRDefault="007F566C"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6C" w:rsidRPr="00033393" w:rsidRDefault="007F566C">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23A9652B" wp14:editId="349AF079">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5"/>
  </w:num>
  <w:num w:numId="4">
    <w:abstractNumId w:val="11"/>
  </w:num>
  <w:num w:numId="5">
    <w:abstractNumId w:val="1"/>
  </w:num>
  <w:num w:numId="6">
    <w:abstractNumId w:val="9"/>
  </w:num>
  <w:num w:numId="7">
    <w:abstractNumId w:val="14"/>
  </w:num>
  <w:num w:numId="8">
    <w:abstractNumId w:val="6"/>
  </w:num>
  <w:num w:numId="9">
    <w:abstractNumId w:val="0"/>
  </w:num>
  <w:num w:numId="10">
    <w:abstractNumId w:val="2"/>
  </w:num>
  <w:num w:numId="11">
    <w:abstractNumId w:val="4"/>
  </w:num>
  <w:num w:numId="12">
    <w:abstractNumId w:val="3"/>
  </w:num>
  <w:num w:numId="13">
    <w:abstractNumId w:val="13"/>
  </w:num>
  <w:num w:numId="14">
    <w:abstractNumId w:val="12"/>
  </w:num>
  <w:num w:numId="15">
    <w:abstractNumId w:val="17"/>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515B2"/>
    <w:rsid w:val="000725CE"/>
    <w:rsid w:val="000C3A3D"/>
    <w:rsid w:val="001B1AF1"/>
    <w:rsid w:val="00212E7A"/>
    <w:rsid w:val="00286918"/>
    <w:rsid w:val="00327D79"/>
    <w:rsid w:val="003321AB"/>
    <w:rsid w:val="003A664A"/>
    <w:rsid w:val="003E4EE1"/>
    <w:rsid w:val="003F6D66"/>
    <w:rsid w:val="00440CA7"/>
    <w:rsid w:val="00496F5A"/>
    <w:rsid w:val="005607D4"/>
    <w:rsid w:val="00616296"/>
    <w:rsid w:val="0069215B"/>
    <w:rsid w:val="007A593D"/>
    <w:rsid w:val="007F566C"/>
    <w:rsid w:val="008A2290"/>
    <w:rsid w:val="008B1233"/>
    <w:rsid w:val="00917404"/>
    <w:rsid w:val="009253D5"/>
    <w:rsid w:val="00964157"/>
    <w:rsid w:val="00972763"/>
    <w:rsid w:val="009B5506"/>
    <w:rsid w:val="00A352DD"/>
    <w:rsid w:val="00A6136C"/>
    <w:rsid w:val="00A674E5"/>
    <w:rsid w:val="00A97B72"/>
    <w:rsid w:val="00AA6976"/>
    <w:rsid w:val="00AB5205"/>
    <w:rsid w:val="00AE4804"/>
    <w:rsid w:val="00B15D2A"/>
    <w:rsid w:val="00B66D9F"/>
    <w:rsid w:val="00BE5446"/>
    <w:rsid w:val="00C02BF3"/>
    <w:rsid w:val="00C20806"/>
    <w:rsid w:val="00C70C5B"/>
    <w:rsid w:val="00C90BCC"/>
    <w:rsid w:val="00D57BB3"/>
    <w:rsid w:val="00D905A4"/>
    <w:rsid w:val="00D90EA2"/>
    <w:rsid w:val="00DB0056"/>
    <w:rsid w:val="00DE56B6"/>
    <w:rsid w:val="00E57C78"/>
    <w:rsid w:val="00E7595A"/>
    <w:rsid w:val="00E961A5"/>
    <w:rsid w:val="00F02619"/>
    <w:rsid w:val="00F029FD"/>
    <w:rsid w:val="00F60291"/>
    <w:rsid w:val="00F9256E"/>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496F5A"/>
    <w:rPr>
      <w:sz w:val="16"/>
      <w:szCs w:val="16"/>
    </w:rPr>
  </w:style>
  <w:style w:type="paragraph" w:styleId="CommentText">
    <w:name w:val="annotation text"/>
    <w:basedOn w:val="Normal"/>
    <w:link w:val="CommentTextChar"/>
    <w:uiPriority w:val="99"/>
    <w:semiHidden/>
    <w:unhideWhenUsed/>
    <w:rsid w:val="00496F5A"/>
    <w:pPr>
      <w:spacing w:line="240" w:lineRule="auto"/>
    </w:pPr>
    <w:rPr>
      <w:sz w:val="20"/>
      <w:szCs w:val="20"/>
    </w:rPr>
  </w:style>
  <w:style w:type="character" w:customStyle="1" w:styleId="CommentTextChar">
    <w:name w:val="Comment Text Char"/>
    <w:basedOn w:val="DefaultParagraphFont"/>
    <w:link w:val="CommentText"/>
    <w:uiPriority w:val="99"/>
    <w:semiHidden/>
    <w:rsid w:val="00496F5A"/>
    <w:rPr>
      <w:sz w:val="20"/>
      <w:szCs w:val="20"/>
    </w:rPr>
  </w:style>
  <w:style w:type="paragraph" w:styleId="CommentSubject">
    <w:name w:val="annotation subject"/>
    <w:basedOn w:val="CommentText"/>
    <w:next w:val="CommentText"/>
    <w:link w:val="CommentSubjectChar"/>
    <w:uiPriority w:val="99"/>
    <w:semiHidden/>
    <w:unhideWhenUsed/>
    <w:rsid w:val="00496F5A"/>
    <w:rPr>
      <w:b/>
      <w:bCs/>
    </w:rPr>
  </w:style>
  <w:style w:type="character" w:customStyle="1" w:styleId="CommentSubjectChar">
    <w:name w:val="Comment Subject Char"/>
    <w:basedOn w:val="CommentTextChar"/>
    <w:link w:val="CommentSubject"/>
    <w:uiPriority w:val="99"/>
    <w:semiHidden/>
    <w:rsid w:val="00496F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496F5A"/>
    <w:rPr>
      <w:sz w:val="16"/>
      <w:szCs w:val="16"/>
    </w:rPr>
  </w:style>
  <w:style w:type="paragraph" w:styleId="CommentText">
    <w:name w:val="annotation text"/>
    <w:basedOn w:val="Normal"/>
    <w:link w:val="CommentTextChar"/>
    <w:uiPriority w:val="99"/>
    <w:semiHidden/>
    <w:unhideWhenUsed/>
    <w:rsid w:val="00496F5A"/>
    <w:pPr>
      <w:spacing w:line="240" w:lineRule="auto"/>
    </w:pPr>
    <w:rPr>
      <w:sz w:val="20"/>
      <w:szCs w:val="20"/>
    </w:rPr>
  </w:style>
  <w:style w:type="character" w:customStyle="1" w:styleId="CommentTextChar">
    <w:name w:val="Comment Text Char"/>
    <w:basedOn w:val="DefaultParagraphFont"/>
    <w:link w:val="CommentText"/>
    <w:uiPriority w:val="99"/>
    <w:semiHidden/>
    <w:rsid w:val="00496F5A"/>
    <w:rPr>
      <w:sz w:val="20"/>
      <w:szCs w:val="20"/>
    </w:rPr>
  </w:style>
  <w:style w:type="paragraph" w:styleId="CommentSubject">
    <w:name w:val="annotation subject"/>
    <w:basedOn w:val="CommentText"/>
    <w:next w:val="CommentText"/>
    <w:link w:val="CommentSubjectChar"/>
    <w:uiPriority w:val="99"/>
    <w:semiHidden/>
    <w:unhideWhenUsed/>
    <w:rsid w:val="00496F5A"/>
    <w:rPr>
      <w:b/>
      <w:bCs/>
    </w:rPr>
  </w:style>
  <w:style w:type="character" w:customStyle="1" w:styleId="CommentSubjectChar">
    <w:name w:val="Comment Subject Char"/>
    <w:basedOn w:val="CommentTextChar"/>
    <w:link w:val="CommentSubject"/>
    <w:uiPriority w:val="99"/>
    <w:semiHidden/>
    <w:rsid w:val="00496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27077/LIT_10121.pdf" TargetMode="External"/><Relationship Id="rId18" Type="http://schemas.openxmlformats.org/officeDocument/2006/relationships/hyperlink" Target="https://www.gov.uk/how-to-dispose-of-nonhazardous-waste" TargetMode="External"/><Relationship Id="rId26" Type="http://schemas.openxmlformats.org/officeDocument/2006/relationships/hyperlink" Target="https://assets.publishing.service.gov.uk/government/uploads/system/uploads/attachment_data/file/694783/Application-form-for-an-environmental-permit-Part-A.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305464/LIT_6789.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waste-duty-of-care-code-of-practice" TargetMode="External"/><Relationship Id="rId25" Type="http://schemas.openxmlformats.org/officeDocument/2006/relationships/hyperlink" Target="https://www.sentencingcouncil.org.uk/wp-content/uploads/Final_Environmental_Offences_Definitive_Guideline_web1.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96422/geho1110btew-e-e.pdf" TargetMode="External"/><Relationship Id="rId20" Type="http://schemas.openxmlformats.org/officeDocument/2006/relationships/hyperlink" Target="https://www.gov.uk/dispose-hazardous-waste/producers-and-holders" TargetMode="External"/><Relationship Id="rId29" Type="http://schemas.openxmlformats.org/officeDocument/2006/relationships/hyperlink" Target="https://www.gov.uk/guidance/develop-a-management-system-environmental-perm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gov.uk/government/uploads/system/uploads/attachment_data/file/468315/LIT_5551.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321200/Treatment_of_waste_for_landfill.pdf" TargetMode="External"/><Relationship Id="rId23" Type="http://schemas.openxmlformats.org/officeDocument/2006/relationships/hyperlink" Target="http://www.legislation.gov.uk/uksi/2016/1154/contents/made" TargetMode="External"/><Relationship Id="rId28" Type="http://schemas.openxmlformats.org/officeDocument/2006/relationships/hyperlink" Target="https://www.gov.uk/government/collections/waste-exemptions-treating-waste" TargetMode="External"/><Relationship Id="rId10" Type="http://schemas.microsoft.com/office/2007/relationships/hdphoto" Target="media/hdphoto1.wdp"/><Relationship Id="rId19" Type="http://schemas.openxmlformats.org/officeDocument/2006/relationships/hyperlink" Target="https://webarchive.nationalarchives.gov.uk/20140328101210/http:/www.environment-agency.gov.uk/static/documents/edoc_A4_leaflet_(PDF_2MB).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uksi/2011/988/contents/made" TargetMode="External"/><Relationship Id="rId22" Type="http://schemas.openxmlformats.org/officeDocument/2006/relationships/hyperlink" Target="https://www.gov.uk/guidance/check-if-you-need-an-environmental-permit" TargetMode="External"/><Relationship Id="rId27" Type="http://schemas.openxmlformats.org/officeDocument/2006/relationships/hyperlink" Target="https://www.gov.uk/guidance/change-transfer-or-cancel-your-environmental-permit" TargetMode="External"/><Relationship Id="rId30" Type="http://schemas.openxmlformats.org/officeDocument/2006/relationships/hyperlink" Target="https://wamitab.org.uk/competence/continuing-competence/test-sco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8E5C75-216A-40EE-AB43-10F2E95E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2019-02-18T16:23:00Z</dcterms:created>
  <dcterms:modified xsi:type="dcterms:W3CDTF">2019-02-18T16:23:00Z</dcterms:modified>
</cp:coreProperties>
</file>