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3A3D" w:rsidRDefault="00F9256E" w:rsidP="0067484C">
      <w:pPr>
        <w:spacing w:before="240" w:after="0" w:line="240" w:lineRule="auto"/>
        <w:rPr>
          <w:b/>
          <w:color w:val="7030A0"/>
          <w:sz w:val="24"/>
        </w:rPr>
      </w:pPr>
      <w:r>
        <w:rPr>
          <w:b/>
          <w:color w:val="7030A0"/>
          <w:sz w:val="24"/>
        </w:rPr>
        <w:t>L</w:t>
      </w:r>
      <w:r w:rsidR="005A7D53">
        <w:rPr>
          <w:b/>
          <w:color w:val="7030A0"/>
          <w:sz w:val="24"/>
        </w:rPr>
        <w:t>andfill Hazardous</w:t>
      </w:r>
    </w:p>
    <w:p w:rsidR="00A6136C" w:rsidRDefault="00A6136C" w:rsidP="0067484C">
      <w:pPr>
        <w:spacing w:after="0" w:line="240" w:lineRule="auto"/>
        <w:rPr>
          <w:b/>
        </w:rPr>
      </w:pPr>
      <w:r>
        <w:rPr>
          <w:b/>
        </w:rPr>
        <w:t>Content Changes 2016-2018 Revision Guide</w:t>
      </w:r>
    </w:p>
    <w:p w:rsidR="007525BA" w:rsidRPr="007525BA" w:rsidRDefault="007525BA" w:rsidP="007525BA">
      <w:pPr>
        <w:spacing w:after="0"/>
        <w:rPr>
          <w:rFonts w:ascii="Calibri" w:eastAsia="Calibri" w:hAnsi="Calibri" w:cs="Times New Roman"/>
          <w:b/>
          <w:i/>
        </w:rPr>
      </w:pPr>
      <w:r w:rsidRPr="007525BA">
        <w:rPr>
          <w:rFonts w:ascii="Calibri" w:eastAsia="Calibri" w:hAnsi="Calibri" w:cs="Times New Roman"/>
          <w:b/>
          <w:i/>
        </w:rPr>
        <w:t xml:space="preserve">All page numbers refer to the 2016-2018 Revision Guides with red covers. </w:t>
      </w:r>
    </w:p>
    <w:p w:rsidR="007525BA" w:rsidRDefault="007525BA" w:rsidP="0067484C">
      <w:pPr>
        <w:spacing w:after="0" w:line="240" w:lineRule="auto"/>
        <w:rPr>
          <w:b/>
        </w:rPr>
      </w:pPr>
    </w:p>
    <w:p w:rsidR="008A2290" w:rsidRDefault="008A2290" w:rsidP="0067484C">
      <w:pPr>
        <w:spacing w:line="240" w:lineRule="auto"/>
        <w:rPr>
          <w:i/>
          <w:color w:val="7030A0"/>
        </w:rPr>
      </w:pPr>
      <w:r>
        <w:rPr>
          <w:i/>
          <w:color w:val="7030A0"/>
        </w:rPr>
        <w:t xml:space="preserve">Section </w:t>
      </w:r>
      <w:r w:rsidR="006F2D66">
        <w:rPr>
          <w:i/>
          <w:color w:val="7030A0"/>
        </w:rPr>
        <w:t>1</w:t>
      </w:r>
      <w:r>
        <w:rPr>
          <w:i/>
          <w:color w:val="7030A0"/>
        </w:rPr>
        <w:t xml:space="preserve">: </w:t>
      </w:r>
      <w:r w:rsidR="006F2D66">
        <w:rPr>
          <w:i/>
          <w:color w:val="7030A0"/>
        </w:rPr>
        <w:t>Written Management System</w:t>
      </w:r>
      <w:r w:rsidR="00E57C78">
        <w:rPr>
          <w:i/>
          <w:color w:val="7030A0"/>
        </w:rPr>
        <w:t>, page 1</w:t>
      </w:r>
      <w:r w:rsidR="006F2D66">
        <w:rPr>
          <w:i/>
          <w:color w:val="7030A0"/>
        </w:rPr>
        <w:t>5</w:t>
      </w:r>
    </w:p>
    <w:p w:rsidR="006F2D66" w:rsidRPr="006F2D66" w:rsidRDefault="006F2D66" w:rsidP="0067484C">
      <w:pPr>
        <w:spacing w:line="240" w:lineRule="auto"/>
        <w:rPr>
          <w:szCs w:val="20"/>
        </w:rPr>
      </w:pPr>
      <w:r w:rsidRPr="006F2D66">
        <w:rPr>
          <w:szCs w:val="20"/>
        </w:rPr>
        <w:t>A written management system must be reviewed and updated:</w:t>
      </w:r>
    </w:p>
    <w:p w:rsidR="006F2D66" w:rsidRPr="006F2D66" w:rsidRDefault="006F2D66" w:rsidP="0067484C">
      <w:pPr>
        <w:pStyle w:val="ListParagraph"/>
        <w:numPr>
          <w:ilvl w:val="0"/>
          <w:numId w:val="19"/>
        </w:numPr>
        <w:spacing w:line="240" w:lineRule="auto"/>
        <w:rPr>
          <w:szCs w:val="20"/>
        </w:rPr>
      </w:pPr>
      <w:r w:rsidRPr="006F2D66">
        <w:rPr>
          <w:szCs w:val="20"/>
        </w:rPr>
        <w:t>After an accident or complaint</w:t>
      </w:r>
    </w:p>
    <w:p w:rsidR="006F2D66" w:rsidRPr="006F2D66" w:rsidRDefault="006F2D66" w:rsidP="0067484C">
      <w:pPr>
        <w:pStyle w:val="ListParagraph"/>
        <w:numPr>
          <w:ilvl w:val="0"/>
          <w:numId w:val="19"/>
        </w:numPr>
        <w:spacing w:line="240" w:lineRule="auto"/>
        <w:rPr>
          <w:szCs w:val="20"/>
        </w:rPr>
      </w:pPr>
      <w:r w:rsidRPr="006F2D66">
        <w:rPr>
          <w:szCs w:val="20"/>
        </w:rPr>
        <w:t>When applying to change (vary) a permit</w:t>
      </w:r>
    </w:p>
    <w:p w:rsidR="006F2D66" w:rsidRPr="006F2D66" w:rsidRDefault="006F2D66" w:rsidP="0067484C">
      <w:pPr>
        <w:pStyle w:val="ListParagraph"/>
        <w:numPr>
          <w:ilvl w:val="0"/>
          <w:numId w:val="19"/>
        </w:numPr>
        <w:spacing w:line="240" w:lineRule="auto"/>
        <w:rPr>
          <w:szCs w:val="20"/>
        </w:rPr>
      </w:pPr>
      <w:r w:rsidRPr="006F2D66">
        <w:rPr>
          <w:szCs w:val="20"/>
        </w:rPr>
        <w:t>When changes are made to operations or equipment for permitted activities</w:t>
      </w:r>
    </w:p>
    <w:p w:rsidR="006F2D66" w:rsidRPr="006F2D66" w:rsidRDefault="006F2D66" w:rsidP="0067484C">
      <w:pPr>
        <w:pStyle w:val="ListParagraph"/>
        <w:numPr>
          <w:ilvl w:val="0"/>
          <w:numId w:val="19"/>
        </w:numPr>
        <w:spacing w:line="240" w:lineRule="auto"/>
        <w:rPr>
          <w:szCs w:val="20"/>
        </w:rPr>
      </w:pPr>
      <w:r w:rsidRPr="006F2D66">
        <w:rPr>
          <w:szCs w:val="20"/>
        </w:rPr>
        <w:t>If an operator encounters a new environmental problem or issue</w:t>
      </w:r>
    </w:p>
    <w:p w:rsidR="00E6203E" w:rsidRDefault="00E6203E" w:rsidP="0067484C">
      <w:pPr>
        <w:spacing w:line="240" w:lineRule="auto"/>
        <w:rPr>
          <w:i/>
          <w:color w:val="7030A0"/>
        </w:rPr>
      </w:pPr>
      <w:r>
        <w:rPr>
          <w:i/>
          <w:color w:val="7030A0"/>
        </w:rPr>
        <w:t>Section 1: Financial Provision, page 16</w:t>
      </w:r>
    </w:p>
    <w:p w:rsidR="00937E1C" w:rsidRDefault="00937E1C" w:rsidP="0067484C">
      <w:pPr>
        <w:spacing w:line="240" w:lineRule="auto"/>
        <w:rPr>
          <w:i/>
          <w:color w:val="7030A0"/>
        </w:rPr>
      </w:pPr>
      <w:r>
        <w:rPr>
          <w:i/>
          <w:color w:val="7030A0"/>
        </w:rPr>
        <w:t>NEW Learning Outcome 1.4: Know the timeframe and financial costs for the aftercare period according to guidance.</w:t>
      </w:r>
    </w:p>
    <w:p w:rsidR="00937E1C" w:rsidRDefault="00937E1C" w:rsidP="0067484C">
      <w:pPr>
        <w:spacing w:line="240" w:lineRule="auto"/>
        <w:rPr>
          <w:i/>
          <w:color w:val="7030A0"/>
        </w:rPr>
      </w:pPr>
      <w:r>
        <w:rPr>
          <w:i/>
          <w:color w:val="7030A0"/>
        </w:rPr>
        <w:t>NEW Learning Outcome</w:t>
      </w:r>
      <w:r w:rsidR="00D73636">
        <w:rPr>
          <w:i/>
          <w:color w:val="7030A0"/>
        </w:rPr>
        <w:t xml:space="preserve"> 1.5: Know what is required of a Technically Competent Manager for hazardous landfills.</w:t>
      </w:r>
    </w:p>
    <w:p w:rsidR="006F2D66" w:rsidRDefault="006F2D66" w:rsidP="0067484C">
      <w:pPr>
        <w:spacing w:line="240" w:lineRule="auto"/>
      </w:pPr>
      <w:r w:rsidRPr="006F2D66">
        <w:t xml:space="preserve">Waste operators need to outline in their written management system how that plan to demonstrate technical competence. </w:t>
      </w:r>
    </w:p>
    <w:p w:rsidR="006F2D66" w:rsidRDefault="006F2D66" w:rsidP="0067484C">
      <w:pPr>
        <w:spacing w:line="240" w:lineRule="auto"/>
      </w:pPr>
      <w:r w:rsidRPr="006F2D66">
        <w:t xml:space="preserve">This should include reference to which approved industry scheme they will use. If landfill operators plan to comply with the CIWM/WAMITAB Operator Competence Scheme, they must remember that there is no 12 month grace period for new permit applications. </w:t>
      </w:r>
    </w:p>
    <w:p w:rsidR="006F2D66" w:rsidRPr="006F2D66" w:rsidRDefault="006F2D66" w:rsidP="0067484C">
      <w:pPr>
        <w:spacing w:line="240" w:lineRule="auto"/>
        <w:rPr>
          <w:i/>
          <w:color w:val="7030A0"/>
          <w:sz w:val="24"/>
        </w:rPr>
      </w:pPr>
      <w:r w:rsidRPr="006F2D66">
        <w:t>Furthermore, when a landfill operator achieves their primary competence qualification, they must take the Continuing Competence test every two years to maintain their knowledge.</w:t>
      </w:r>
    </w:p>
    <w:p w:rsidR="006F2D66" w:rsidRDefault="006F2D66" w:rsidP="0067484C">
      <w:pPr>
        <w:spacing w:line="240" w:lineRule="auto"/>
        <w:rPr>
          <w:i/>
          <w:color w:val="7030A0"/>
        </w:rPr>
      </w:pPr>
      <w:r>
        <w:rPr>
          <w:i/>
          <w:color w:val="7030A0"/>
        </w:rPr>
        <w:t>Section 2: Attenuation, Barriers and Construction, page 19</w:t>
      </w:r>
    </w:p>
    <w:p w:rsidR="00AB233B" w:rsidRDefault="006F2D66" w:rsidP="0067484C">
      <w:pPr>
        <w:spacing w:line="240" w:lineRule="auto"/>
      </w:pPr>
      <w:r w:rsidRPr="006F2D66">
        <w:t xml:space="preserve">Geophysical leak detection on can be used on all cells where the artificial sealing liner is a geomembrane, to check for defects after the </w:t>
      </w:r>
    </w:p>
    <w:p w:rsidR="00AB233B" w:rsidRDefault="00AB233B" w:rsidP="0067484C">
      <w:pPr>
        <w:spacing w:line="240" w:lineRule="auto"/>
      </w:pPr>
    </w:p>
    <w:p w:rsidR="006F2D66" w:rsidRPr="006F2D66" w:rsidRDefault="006F2D66" w:rsidP="0067484C">
      <w:pPr>
        <w:spacing w:line="240" w:lineRule="auto"/>
        <w:rPr>
          <w:i/>
          <w:color w:val="7030A0"/>
        </w:rPr>
      </w:pPr>
      <w:r w:rsidRPr="006F2D66">
        <w:t>installation of the leachate drainage layer and prior to depositing waste.</w:t>
      </w:r>
    </w:p>
    <w:p w:rsidR="006F2D66" w:rsidRDefault="006F2D66" w:rsidP="0067484C">
      <w:pPr>
        <w:spacing w:line="240" w:lineRule="auto"/>
        <w:rPr>
          <w:i/>
          <w:color w:val="7030A0"/>
        </w:rPr>
      </w:pPr>
      <w:r>
        <w:rPr>
          <w:i/>
          <w:color w:val="7030A0"/>
        </w:rPr>
        <w:t>Section 3: Rejected Waste, page 23</w:t>
      </w:r>
    </w:p>
    <w:p w:rsidR="006F2D66" w:rsidRDefault="006F2D66" w:rsidP="0067484C">
      <w:pPr>
        <w:spacing w:line="240" w:lineRule="auto"/>
      </w:pPr>
      <w:r>
        <w:t>An operator may commit an offence if they do not reject hazardous waste that arrives on site:</w:t>
      </w:r>
    </w:p>
    <w:p w:rsidR="006F2D66" w:rsidRDefault="006F2D66" w:rsidP="0067484C">
      <w:pPr>
        <w:pStyle w:val="ListParagraph"/>
        <w:numPr>
          <w:ilvl w:val="0"/>
          <w:numId w:val="20"/>
        </w:numPr>
        <w:spacing w:line="240" w:lineRule="auto"/>
      </w:pPr>
      <w:r>
        <w:t>Without a consignment note.</w:t>
      </w:r>
    </w:p>
    <w:p w:rsidR="006F2D66" w:rsidRDefault="006F2D66" w:rsidP="0067484C">
      <w:pPr>
        <w:pStyle w:val="ListParagraph"/>
        <w:numPr>
          <w:ilvl w:val="0"/>
          <w:numId w:val="20"/>
        </w:numPr>
        <w:spacing w:line="240" w:lineRule="auto"/>
      </w:pPr>
      <w:r>
        <w:t>With a consignment note that is incomplete or incorrect.</w:t>
      </w:r>
    </w:p>
    <w:p w:rsidR="006F2D66" w:rsidRPr="006F2D66" w:rsidRDefault="006F2D66" w:rsidP="0067484C">
      <w:pPr>
        <w:pStyle w:val="ListParagraph"/>
        <w:numPr>
          <w:ilvl w:val="0"/>
          <w:numId w:val="20"/>
        </w:numPr>
        <w:spacing w:line="240" w:lineRule="auto"/>
      </w:pPr>
      <w:r>
        <w:t>That the operation is not permitted to accept.</w:t>
      </w:r>
    </w:p>
    <w:p w:rsidR="00DA362E" w:rsidRDefault="00DA362E" w:rsidP="0067484C">
      <w:pPr>
        <w:spacing w:line="240" w:lineRule="auto"/>
        <w:rPr>
          <w:i/>
          <w:color w:val="7030A0"/>
        </w:rPr>
      </w:pPr>
      <w:r>
        <w:rPr>
          <w:i/>
          <w:color w:val="7030A0"/>
        </w:rPr>
        <w:t>Section 3: Liquid Waste and Standards, page 24</w:t>
      </w:r>
    </w:p>
    <w:p w:rsidR="00D73636" w:rsidRDefault="00D73636" w:rsidP="0067484C">
      <w:pPr>
        <w:spacing w:line="240" w:lineRule="auto"/>
        <w:rPr>
          <w:i/>
          <w:color w:val="7030A0"/>
        </w:rPr>
      </w:pPr>
      <w:r>
        <w:rPr>
          <w:i/>
          <w:color w:val="7030A0"/>
        </w:rPr>
        <w:t>REMOVED Learning Outcome 3.3: Know how to determine that a waste is liquid.</w:t>
      </w:r>
    </w:p>
    <w:p w:rsidR="00D73636" w:rsidRDefault="00D73636" w:rsidP="0067484C">
      <w:pPr>
        <w:spacing w:line="240" w:lineRule="auto"/>
        <w:rPr>
          <w:i/>
          <w:color w:val="7030A0"/>
        </w:rPr>
      </w:pPr>
      <w:r>
        <w:rPr>
          <w:i/>
          <w:color w:val="7030A0"/>
        </w:rPr>
        <w:t>NEW Learning Outcome 3.3: Know the requirements for disposal of asbestos (replaces 3.4 Know the standards required for accepting asbestos).</w:t>
      </w:r>
    </w:p>
    <w:p w:rsidR="00A61532" w:rsidRPr="00A61532" w:rsidRDefault="00A61532" w:rsidP="0067484C">
      <w:pPr>
        <w:spacing w:line="240" w:lineRule="auto"/>
        <w:rPr>
          <w:i/>
          <w:color w:val="7030A0"/>
        </w:rPr>
      </w:pPr>
      <w:r w:rsidRPr="00A61532">
        <w:t>There may be times when the collection of leachate or landfill gas from a cell containing asbestos may be necessary. Under these circumstances, steps must be taken to prevent the release of asbestos fibres e.g. using a binding agent such as cement.</w:t>
      </w:r>
    </w:p>
    <w:p w:rsidR="00D73636" w:rsidRDefault="00D73636" w:rsidP="0067484C">
      <w:pPr>
        <w:spacing w:line="240" w:lineRule="auto"/>
        <w:rPr>
          <w:i/>
          <w:color w:val="7030A0"/>
        </w:rPr>
      </w:pPr>
      <w:r>
        <w:rPr>
          <w:i/>
          <w:color w:val="7030A0"/>
        </w:rPr>
        <w:t>NEW Learning Outcome 3.7: Know what paperwork is required for accepting hazardous waste to landfill.</w:t>
      </w:r>
    </w:p>
    <w:p w:rsidR="00A61532" w:rsidRDefault="00A61532" w:rsidP="0067484C">
      <w:pPr>
        <w:spacing w:line="240" w:lineRule="auto"/>
        <w:rPr>
          <w:i/>
          <w:color w:val="7030A0"/>
        </w:rPr>
      </w:pPr>
      <w:r>
        <w:rPr>
          <w:i/>
          <w:color w:val="7030A0"/>
        </w:rPr>
        <w:t>Section 4: Monitoring and Sampling, page 30</w:t>
      </w:r>
    </w:p>
    <w:p w:rsidR="00A61532" w:rsidRPr="00A61532" w:rsidRDefault="00A61532" w:rsidP="0067484C">
      <w:pPr>
        <w:spacing w:line="240" w:lineRule="auto"/>
      </w:pPr>
      <w:r w:rsidRPr="00A61532">
        <w:t>Monitoring and sampling plans should include:</w:t>
      </w:r>
    </w:p>
    <w:p w:rsidR="00A61532" w:rsidRPr="00A61532" w:rsidRDefault="00A61532" w:rsidP="0067484C">
      <w:pPr>
        <w:pStyle w:val="ListParagraph"/>
        <w:numPr>
          <w:ilvl w:val="0"/>
          <w:numId w:val="21"/>
        </w:numPr>
        <w:spacing w:line="240" w:lineRule="auto"/>
      </w:pPr>
      <w:r w:rsidRPr="00A61532">
        <w:t>A schedule for data collection and frequency of monitoring</w:t>
      </w:r>
    </w:p>
    <w:p w:rsidR="00A61532" w:rsidRPr="00A61532" w:rsidRDefault="00A61532" w:rsidP="0067484C">
      <w:pPr>
        <w:pStyle w:val="ListParagraph"/>
        <w:numPr>
          <w:ilvl w:val="0"/>
          <w:numId w:val="21"/>
        </w:numPr>
        <w:spacing w:line="240" w:lineRule="auto"/>
      </w:pPr>
      <w:r w:rsidRPr="00A61532">
        <w:t>A layout showing the construction and location of monitoring points</w:t>
      </w:r>
    </w:p>
    <w:p w:rsidR="00A61532" w:rsidRPr="00A61532" w:rsidRDefault="00A61532" w:rsidP="0067484C">
      <w:pPr>
        <w:pStyle w:val="ListParagraph"/>
        <w:numPr>
          <w:ilvl w:val="0"/>
          <w:numId w:val="21"/>
        </w:numPr>
        <w:spacing w:line="240" w:lineRule="auto"/>
      </w:pPr>
      <w:r w:rsidRPr="00A61532">
        <w:t>A description of the measurement techniques and sampling strategy</w:t>
      </w:r>
    </w:p>
    <w:p w:rsidR="00A61532" w:rsidRPr="00A61532" w:rsidRDefault="00A61532" w:rsidP="0067484C">
      <w:pPr>
        <w:pStyle w:val="ListParagraph"/>
        <w:numPr>
          <w:ilvl w:val="0"/>
          <w:numId w:val="21"/>
        </w:numPr>
        <w:spacing w:line="240" w:lineRule="auto"/>
      </w:pPr>
      <w:r w:rsidRPr="00A61532">
        <w:t>The background and action/trigger values</w:t>
      </w:r>
    </w:p>
    <w:p w:rsidR="00A61532" w:rsidRPr="00A61532" w:rsidRDefault="00A61532" w:rsidP="0067484C">
      <w:pPr>
        <w:pStyle w:val="ListParagraph"/>
        <w:numPr>
          <w:ilvl w:val="0"/>
          <w:numId w:val="21"/>
        </w:numPr>
        <w:spacing w:line="240" w:lineRule="auto"/>
      </w:pPr>
      <w:r w:rsidRPr="00A61532">
        <w:t>The methodology for data interpretation, review and reporting</w:t>
      </w:r>
    </w:p>
    <w:p w:rsidR="00A61532" w:rsidRPr="00A61532" w:rsidRDefault="00A61532" w:rsidP="0067484C">
      <w:pPr>
        <w:pStyle w:val="ListParagraph"/>
        <w:numPr>
          <w:ilvl w:val="0"/>
          <w:numId w:val="21"/>
        </w:numPr>
        <w:spacing w:line="240" w:lineRule="auto"/>
        <w:rPr>
          <w:sz w:val="24"/>
        </w:rPr>
      </w:pPr>
      <w:r w:rsidRPr="00A61532">
        <w:t>How results wi</w:t>
      </w:r>
      <w:r w:rsidR="00AC04D5">
        <w:t>ll</w:t>
      </w:r>
      <w:r w:rsidRPr="00A61532">
        <w:t xml:space="preserve"> be communicated</w:t>
      </w:r>
    </w:p>
    <w:p w:rsidR="00A61532" w:rsidRDefault="00A61532" w:rsidP="0067484C">
      <w:pPr>
        <w:spacing w:line="240" w:lineRule="auto"/>
        <w:rPr>
          <w:i/>
          <w:color w:val="7030A0"/>
        </w:rPr>
      </w:pPr>
    </w:p>
    <w:p w:rsidR="00A61532" w:rsidRDefault="00A61532" w:rsidP="0067484C">
      <w:pPr>
        <w:spacing w:line="240" w:lineRule="auto"/>
        <w:rPr>
          <w:i/>
          <w:color w:val="7030A0"/>
        </w:rPr>
      </w:pPr>
      <w:r>
        <w:rPr>
          <w:i/>
          <w:color w:val="7030A0"/>
        </w:rPr>
        <w:t xml:space="preserve">Section 4: </w:t>
      </w:r>
      <w:r w:rsidR="00F517F2">
        <w:rPr>
          <w:i/>
          <w:color w:val="7030A0"/>
        </w:rPr>
        <w:t>Perimeter Borehole, page 31</w:t>
      </w:r>
    </w:p>
    <w:p w:rsidR="00A61532" w:rsidRPr="00F517F2" w:rsidRDefault="00F517F2" w:rsidP="0067484C">
      <w:pPr>
        <w:spacing w:line="240" w:lineRule="auto"/>
      </w:pPr>
      <w:r w:rsidRPr="00F517F2">
        <w:t>A gas management plan must set out actions in the event of:</w:t>
      </w:r>
    </w:p>
    <w:p w:rsidR="00F517F2" w:rsidRPr="00F517F2" w:rsidRDefault="00F517F2" w:rsidP="0067484C">
      <w:pPr>
        <w:pStyle w:val="ListParagraph"/>
        <w:numPr>
          <w:ilvl w:val="0"/>
          <w:numId w:val="22"/>
        </w:numPr>
        <w:spacing w:line="240" w:lineRule="auto"/>
      </w:pPr>
      <w:r w:rsidRPr="00F517F2">
        <w:t>Any abnormal changes observed in collected monitoring data</w:t>
      </w:r>
    </w:p>
    <w:p w:rsidR="00F517F2" w:rsidRPr="00F517F2" w:rsidRDefault="00F517F2" w:rsidP="0067484C">
      <w:pPr>
        <w:pStyle w:val="ListParagraph"/>
        <w:numPr>
          <w:ilvl w:val="0"/>
          <w:numId w:val="22"/>
        </w:numPr>
        <w:spacing w:line="240" w:lineRule="auto"/>
      </w:pPr>
      <w:r w:rsidRPr="00F517F2">
        <w:t>All identified problems or failure of the gas control system</w:t>
      </w:r>
    </w:p>
    <w:p w:rsidR="00F517F2" w:rsidRPr="00F517F2" w:rsidRDefault="00F517F2" w:rsidP="0067484C">
      <w:pPr>
        <w:pStyle w:val="ListParagraph"/>
        <w:numPr>
          <w:ilvl w:val="0"/>
          <w:numId w:val="22"/>
        </w:numPr>
        <w:spacing w:line="240" w:lineRule="auto"/>
        <w:rPr>
          <w:i/>
          <w:color w:val="7030A0"/>
        </w:rPr>
      </w:pPr>
      <w:r w:rsidRPr="00F517F2">
        <w:t>A reported event e.g. a complaint regarding odour</w:t>
      </w:r>
    </w:p>
    <w:p w:rsidR="0088117B" w:rsidRDefault="0088117B" w:rsidP="0067484C">
      <w:pPr>
        <w:spacing w:line="240" w:lineRule="auto"/>
        <w:rPr>
          <w:i/>
          <w:color w:val="7030A0"/>
        </w:rPr>
      </w:pPr>
      <w:r>
        <w:rPr>
          <w:i/>
          <w:color w:val="7030A0"/>
        </w:rPr>
        <w:t>Section 4: Controlling and Utilising, page 32</w:t>
      </w:r>
    </w:p>
    <w:p w:rsidR="00D73636" w:rsidRDefault="00D73636" w:rsidP="0067484C">
      <w:pPr>
        <w:spacing w:line="240" w:lineRule="auto"/>
        <w:rPr>
          <w:i/>
          <w:color w:val="7030A0"/>
        </w:rPr>
      </w:pPr>
      <w:r>
        <w:rPr>
          <w:i/>
          <w:color w:val="7030A0"/>
        </w:rPr>
        <w:t>NEW Learning Outcome 4.8: Know procedures for identifying and dealing with deep and shallow landfill fires.</w:t>
      </w:r>
    </w:p>
    <w:p w:rsidR="00F517F2" w:rsidRDefault="00F517F2" w:rsidP="0067484C">
      <w:pPr>
        <w:spacing w:line="240" w:lineRule="auto"/>
      </w:pPr>
      <w:r w:rsidRPr="00F517F2">
        <w:t xml:space="preserve">Early detection of hot spots and fires can be achieved through routine monitoring of carbon monoxide and gas temperature within the body of the waste and in the landfill gas collection infrastructure. </w:t>
      </w:r>
    </w:p>
    <w:p w:rsidR="00F517F2" w:rsidRPr="00F517F2" w:rsidRDefault="00F517F2" w:rsidP="0067484C">
      <w:pPr>
        <w:spacing w:line="240" w:lineRule="auto"/>
        <w:rPr>
          <w:i/>
          <w:color w:val="7030A0"/>
        </w:rPr>
      </w:pPr>
      <w:r w:rsidRPr="00F517F2">
        <w:t>However, hydrogen and hydrogen sulphide can interfere with the instruments used to measure carbon monoxide, therefore the concentrations of these gases must also be measured.</w:t>
      </w:r>
    </w:p>
    <w:p w:rsidR="00F517F2" w:rsidRDefault="00F517F2" w:rsidP="0067484C">
      <w:pPr>
        <w:spacing w:line="240" w:lineRule="auto"/>
        <w:rPr>
          <w:i/>
          <w:color w:val="7030A0"/>
        </w:rPr>
      </w:pPr>
      <w:r>
        <w:rPr>
          <w:i/>
          <w:color w:val="7030A0"/>
        </w:rPr>
        <w:t>Section 5: Treatment and Pollution Risk</w:t>
      </w:r>
      <w:r w:rsidR="009C3124">
        <w:rPr>
          <w:i/>
          <w:color w:val="7030A0"/>
        </w:rPr>
        <w:t>s</w:t>
      </w:r>
      <w:r>
        <w:rPr>
          <w:i/>
          <w:color w:val="7030A0"/>
        </w:rPr>
        <w:t>, page 37</w:t>
      </w:r>
    </w:p>
    <w:p w:rsidR="00F517F2" w:rsidRPr="00F517F2" w:rsidRDefault="00F517F2" w:rsidP="0067484C">
      <w:pPr>
        <w:spacing w:line="240" w:lineRule="auto"/>
      </w:pPr>
      <w:r w:rsidRPr="00F517F2">
        <w:t>To remove solids from leachate, operators can use techniques such as sedimentation and settlement, sand filtration and dissolved a</w:t>
      </w:r>
      <w:r w:rsidR="00FE3F10">
        <w:t>nd</w:t>
      </w:r>
      <w:r w:rsidRPr="00F517F2">
        <w:t xml:space="preserve"> flotation depending on conditions.</w:t>
      </w:r>
    </w:p>
    <w:p w:rsidR="00F517F2" w:rsidRPr="00F517F2" w:rsidRDefault="00F517F2" w:rsidP="0067484C">
      <w:pPr>
        <w:spacing w:line="240" w:lineRule="auto"/>
        <w:rPr>
          <w:i/>
          <w:color w:val="7030A0"/>
        </w:rPr>
      </w:pPr>
      <w:r w:rsidRPr="00F517F2">
        <w:rPr>
          <w:b/>
        </w:rPr>
        <w:t xml:space="preserve">Horizontal flow </w:t>
      </w:r>
      <w:proofErr w:type="spellStart"/>
      <w:r w:rsidRPr="00F517F2">
        <w:rPr>
          <w:b/>
        </w:rPr>
        <w:t>reedbeds</w:t>
      </w:r>
      <w:proofErr w:type="spellEnd"/>
      <w:r w:rsidRPr="00F517F2">
        <w:t xml:space="preserve"> – frequently used to reduce biochemical oxygen demand and solids.</w:t>
      </w:r>
    </w:p>
    <w:p w:rsidR="00F517F2" w:rsidRDefault="00F517F2" w:rsidP="0067484C">
      <w:pPr>
        <w:spacing w:line="240" w:lineRule="auto"/>
      </w:pPr>
      <w:r w:rsidRPr="00F517F2">
        <w:rPr>
          <w:b/>
        </w:rPr>
        <w:t xml:space="preserve">Vertical flow </w:t>
      </w:r>
      <w:proofErr w:type="spellStart"/>
      <w:r w:rsidRPr="00F517F2">
        <w:rPr>
          <w:b/>
        </w:rPr>
        <w:t>reedbeds</w:t>
      </w:r>
      <w:proofErr w:type="spellEnd"/>
      <w:r w:rsidRPr="00F517F2">
        <w:t xml:space="preserve"> – require less land then horizontal flow </w:t>
      </w:r>
      <w:proofErr w:type="spellStart"/>
      <w:r w:rsidRPr="00F517F2">
        <w:t>reedbeds</w:t>
      </w:r>
      <w:proofErr w:type="spellEnd"/>
      <w:r w:rsidRPr="00F517F2">
        <w:t xml:space="preserve"> and are more efficient at reducing ammonia.</w:t>
      </w:r>
    </w:p>
    <w:p w:rsidR="00F517F2" w:rsidRPr="00F517F2" w:rsidRDefault="00F517F2" w:rsidP="0067484C">
      <w:pPr>
        <w:spacing w:line="240" w:lineRule="auto"/>
        <w:rPr>
          <w:i/>
          <w:color w:val="7030A0"/>
        </w:rPr>
      </w:pPr>
      <w:r w:rsidRPr="00F517F2">
        <w:t>Leachate storage can pose environmental risks in terms of odours, leakage from storage vessels into surface or groundwater and release of dissolved methane from solution.</w:t>
      </w:r>
    </w:p>
    <w:p w:rsidR="00F517F2" w:rsidRDefault="00F517F2" w:rsidP="0067484C">
      <w:pPr>
        <w:spacing w:line="240" w:lineRule="auto"/>
        <w:rPr>
          <w:i/>
          <w:color w:val="7030A0"/>
        </w:rPr>
      </w:pPr>
    </w:p>
    <w:p w:rsidR="00635028" w:rsidRDefault="00635028" w:rsidP="0067484C">
      <w:pPr>
        <w:spacing w:line="240" w:lineRule="auto"/>
        <w:rPr>
          <w:i/>
          <w:color w:val="7030A0"/>
        </w:rPr>
      </w:pPr>
    </w:p>
    <w:p w:rsidR="00D73636" w:rsidRDefault="00D73636" w:rsidP="0067484C">
      <w:pPr>
        <w:spacing w:line="240" w:lineRule="auto"/>
        <w:rPr>
          <w:i/>
          <w:color w:val="7030A0"/>
        </w:rPr>
      </w:pPr>
      <w:r>
        <w:rPr>
          <w:i/>
          <w:color w:val="7030A0"/>
        </w:rPr>
        <w:t>NEW Learning Outcome 5.6: Know what information should be in a hydrogeological risk assessment.</w:t>
      </w:r>
    </w:p>
    <w:p w:rsidR="00F517F2" w:rsidRPr="00974C45" w:rsidRDefault="00F517F2" w:rsidP="0067484C">
      <w:pPr>
        <w:autoSpaceDE w:val="0"/>
        <w:autoSpaceDN w:val="0"/>
        <w:adjustRightInd w:val="0"/>
        <w:spacing w:after="0" w:line="240" w:lineRule="auto"/>
      </w:pPr>
      <w:r w:rsidRPr="00974C45">
        <w:t>During a hydrogeological risk assessment, an operator should review:</w:t>
      </w:r>
    </w:p>
    <w:p w:rsidR="00F517F2" w:rsidRPr="00974C45" w:rsidRDefault="00F517F2" w:rsidP="0067484C">
      <w:pPr>
        <w:autoSpaceDE w:val="0"/>
        <w:autoSpaceDN w:val="0"/>
        <w:adjustRightInd w:val="0"/>
        <w:spacing w:after="0" w:line="240" w:lineRule="auto"/>
        <w:rPr>
          <w:color w:val="00B050"/>
          <w:lang w:val="en-US"/>
        </w:rPr>
      </w:pPr>
    </w:p>
    <w:p w:rsidR="00F517F2" w:rsidRPr="00974C45" w:rsidRDefault="00F517F2" w:rsidP="0067484C">
      <w:pPr>
        <w:pStyle w:val="ListParagraph"/>
        <w:numPr>
          <w:ilvl w:val="0"/>
          <w:numId w:val="24"/>
        </w:numPr>
        <w:autoSpaceDE w:val="0"/>
        <w:autoSpaceDN w:val="0"/>
        <w:adjustRightInd w:val="0"/>
        <w:spacing w:after="0" w:line="240" w:lineRule="auto"/>
      </w:pPr>
      <w:r w:rsidRPr="00974C45">
        <w:t>Capping</w:t>
      </w:r>
    </w:p>
    <w:p w:rsidR="00F517F2" w:rsidRPr="00974C45" w:rsidRDefault="00F517F2" w:rsidP="0067484C">
      <w:pPr>
        <w:pStyle w:val="ListParagraph"/>
        <w:numPr>
          <w:ilvl w:val="0"/>
          <w:numId w:val="24"/>
        </w:numPr>
        <w:autoSpaceDE w:val="0"/>
        <w:autoSpaceDN w:val="0"/>
        <w:adjustRightInd w:val="0"/>
        <w:spacing w:after="0" w:line="240" w:lineRule="auto"/>
      </w:pPr>
      <w:r w:rsidRPr="00974C45">
        <w:t>Lining design and leakage detection</w:t>
      </w:r>
    </w:p>
    <w:p w:rsidR="00F517F2" w:rsidRPr="00974C45" w:rsidRDefault="00F517F2" w:rsidP="0067484C">
      <w:pPr>
        <w:pStyle w:val="ListParagraph"/>
        <w:numPr>
          <w:ilvl w:val="0"/>
          <w:numId w:val="24"/>
        </w:numPr>
        <w:autoSpaceDE w:val="0"/>
        <w:autoSpaceDN w:val="0"/>
        <w:adjustRightInd w:val="0"/>
        <w:spacing w:after="0" w:line="240" w:lineRule="auto"/>
      </w:pPr>
      <w:r w:rsidRPr="00974C45">
        <w:t>Leachate drainage systems and head control</w:t>
      </w:r>
    </w:p>
    <w:p w:rsidR="00F517F2" w:rsidRPr="00974C45" w:rsidRDefault="00F517F2" w:rsidP="0067484C">
      <w:pPr>
        <w:pStyle w:val="ListParagraph"/>
        <w:numPr>
          <w:ilvl w:val="0"/>
          <w:numId w:val="24"/>
        </w:numPr>
        <w:autoSpaceDE w:val="0"/>
        <w:autoSpaceDN w:val="0"/>
        <w:adjustRightInd w:val="0"/>
        <w:spacing w:after="0" w:line="240" w:lineRule="auto"/>
        <w:rPr>
          <w:color w:val="00B050"/>
          <w:lang w:val="en-US"/>
        </w:rPr>
      </w:pPr>
      <w:r w:rsidRPr="00974C45">
        <w:t>Groundwater and surface water management</w:t>
      </w:r>
    </w:p>
    <w:p w:rsidR="00F9256E" w:rsidRDefault="00F9256E" w:rsidP="0067484C">
      <w:pPr>
        <w:spacing w:after="0" w:line="240" w:lineRule="auto"/>
      </w:pPr>
    </w:p>
    <w:p w:rsidR="00F517F2" w:rsidRDefault="00F517F2" w:rsidP="0067484C">
      <w:pPr>
        <w:spacing w:line="240" w:lineRule="auto"/>
        <w:rPr>
          <w:i/>
          <w:color w:val="7030A0"/>
        </w:rPr>
      </w:pPr>
      <w:r>
        <w:rPr>
          <w:i/>
          <w:color w:val="7030A0"/>
        </w:rPr>
        <w:t>Section 6: Fires, page 4</w:t>
      </w:r>
      <w:r w:rsidR="00AB233B">
        <w:rPr>
          <w:i/>
          <w:color w:val="7030A0"/>
        </w:rPr>
        <w:t>2</w:t>
      </w:r>
    </w:p>
    <w:p w:rsidR="00F517F2" w:rsidRPr="00F517F2" w:rsidRDefault="00F517F2" w:rsidP="0067484C">
      <w:pPr>
        <w:spacing w:line="240" w:lineRule="auto"/>
        <w:rPr>
          <w:i/>
          <w:color w:val="7030A0"/>
        </w:rPr>
      </w:pPr>
      <w:r w:rsidRPr="00F517F2">
        <w:t>To deal with a hot spot, operators can switch off or turn down their systems for extracting gas from the landfill as an initial measure.</w:t>
      </w:r>
    </w:p>
    <w:p w:rsidR="00F517F2" w:rsidRDefault="00F517F2" w:rsidP="0067484C">
      <w:pPr>
        <w:spacing w:line="240" w:lineRule="auto"/>
        <w:rPr>
          <w:i/>
          <w:color w:val="7030A0"/>
        </w:rPr>
      </w:pPr>
      <w:r>
        <w:rPr>
          <w:i/>
          <w:color w:val="7030A0"/>
        </w:rPr>
        <w:t xml:space="preserve">Section 6: </w:t>
      </w:r>
      <w:r w:rsidR="0071791E">
        <w:rPr>
          <w:i/>
          <w:color w:val="7030A0"/>
        </w:rPr>
        <w:t>Noise, Dust, Odours and Other Nuisance, page 4</w:t>
      </w:r>
      <w:r w:rsidR="00AB233B">
        <w:rPr>
          <w:i/>
          <w:color w:val="7030A0"/>
        </w:rPr>
        <w:t>4</w:t>
      </w:r>
    </w:p>
    <w:p w:rsidR="0071791E" w:rsidRPr="0071791E" w:rsidRDefault="0071791E" w:rsidP="0067484C">
      <w:pPr>
        <w:spacing w:line="240" w:lineRule="auto"/>
        <w:rPr>
          <w:b/>
          <w:color w:val="7030A0"/>
        </w:rPr>
      </w:pPr>
      <w:r>
        <w:rPr>
          <w:b/>
          <w:color w:val="7030A0"/>
        </w:rPr>
        <w:t>Dust</w:t>
      </w:r>
    </w:p>
    <w:p w:rsidR="0071791E" w:rsidRPr="0071791E" w:rsidRDefault="0071791E" w:rsidP="0067484C">
      <w:pPr>
        <w:spacing w:line="240" w:lineRule="auto"/>
        <w:rPr>
          <w:i/>
          <w:color w:val="7030A0"/>
        </w:rPr>
      </w:pPr>
      <w:r w:rsidRPr="0071791E">
        <w:t>The placement of fine materials in landfill can result in wind-blown dust unless primary covers or wetting are used as a control measure.</w:t>
      </w:r>
    </w:p>
    <w:p w:rsidR="0071791E" w:rsidRPr="0071791E" w:rsidRDefault="0071791E" w:rsidP="0067484C">
      <w:pPr>
        <w:spacing w:line="240" w:lineRule="auto"/>
        <w:rPr>
          <w:b/>
          <w:color w:val="7030A0"/>
        </w:rPr>
      </w:pPr>
      <w:r w:rsidRPr="0071791E">
        <w:rPr>
          <w:b/>
          <w:color w:val="7030A0"/>
        </w:rPr>
        <w:t>Odour</w:t>
      </w:r>
    </w:p>
    <w:p w:rsidR="0067484C" w:rsidRDefault="0071791E" w:rsidP="0067484C">
      <w:pPr>
        <w:spacing w:line="240" w:lineRule="auto"/>
      </w:pPr>
      <w:r>
        <w:t xml:space="preserve">Operators should keep tipping areas as small as possible, cover wastes as soon as possible and design, construct and maintain intermediate capping to prevent the possible release of odours. </w:t>
      </w:r>
    </w:p>
    <w:p w:rsidR="0071791E" w:rsidRPr="00A272E3" w:rsidRDefault="0071791E" w:rsidP="0067484C">
      <w:pPr>
        <w:spacing w:line="240" w:lineRule="auto"/>
      </w:pPr>
      <w:r>
        <w:t>Regular odour impact assessments should cover odour generation and receptor exposure.</w:t>
      </w:r>
    </w:p>
    <w:p w:rsidR="0067484C" w:rsidRDefault="0067484C" w:rsidP="0067484C">
      <w:pPr>
        <w:spacing w:line="240" w:lineRule="auto"/>
        <w:rPr>
          <w:i/>
          <w:color w:val="7030A0"/>
        </w:rPr>
      </w:pPr>
      <w:r>
        <w:rPr>
          <w:i/>
          <w:color w:val="7030A0"/>
        </w:rPr>
        <w:t>Section 7: Stability, page 4</w:t>
      </w:r>
      <w:r w:rsidR="00AB233B">
        <w:rPr>
          <w:i/>
          <w:color w:val="7030A0"/>
        </w:rPr>
        <w:t>7</w:t>
      </w:r>
    </w:p>
    <w:p w:rsidR="0067484C" w:rsidRDefault="0067484C" w:rsidP="0067484C">
      <w:pPr>
        <w:spacing w:line="240" w:lineRule="auto"/>
      </w:pPr>
      <w:r>
        <w:t>An increasingly wide range of geomembrane materials are available for use as liners e.g. textured sheets for steeper slopes.</w:t>
      </w:r>
    </w:p>
    <w:p w:rsidR="0067484C" w:rsidRDefault="0067484C" w:rsidP="0067484C">
      <w:pPr>
        <w:spacing w:line="240" w:lineRule="auto"/>
        <w:rPr>
          <w:i/>
          <w:color w:val="7030A0"/>
        </w:rPr>
      </w:pPr>
    </w:p>
    <w:p w:rsidR="0067484C" w:rsidRDefault="0067484C" w:rsidP="0067484C">
      <w:pPr>
        <w:spacing w:line="240" w:lineRule="auto"/>
        <w:rPr>
          <w:i/>
          <w:color w:val="7030A0"/>
        </w:rPr>
      </w:pPr>
    </w:p>
    <w:p w:rsidR="0067484C" w:rsidRDefault="0067484C" w:rsidP="0067484C">
      <w:pPr>
        <w:spacing w:line="240" w:lineRule="auto"/>
        <w:rPr>
          <w:i/>
          <w:color w:val="7030A0"/>
        </w:rPr>
      </w:pPr>
    </w:p>
    <w:p w:rsidR="0067484C" w:rsidRDefault="0067484C" w:rsidP="0067484C">
      <w:pPr>
        <w:spacing w:line="240" w:lineRule="auto"/>
        <w:rPr>
          <w:i/>
          <w:color w:val="7030A0"/>
        </w:rPr>
      </w:pPr>
    </w:p>
    <w:p w:rsidR="0067484C" w:rsidRDefault="0067484C" w:rsidP="00D33723">
      <w:pPr>
        <w:spacing w:line="240" w:lineRule="auto"/>
        <w:rPr>
          <w:rFonts w:ascii="Kristen ITC" w:hAnsi="Kristen ITC"/>
        </w:rPr>
      </w:pPr>
      <w:r>
        <w:rPr>
          <w:i/>
          <w:color w:val="7030A0"/>
        </w:rPr>
        <w:t>Section 7: Vehicles, page 4</w:t>
      </w:r>
      <w:r w:rsidR="00AB233B">
        <w:rPr>
          <w:i/>
          <w:color w:val="7030A0"/>
        </w:rPr>
        <w:t>8</w:t>
      </w:r>
    </w:p>
    <w:p w:rsidR="0067484C" w:rsidRPr="0067484C" w:rsidRDefault="0067484C" w:rsidP="00D33723">
      <w:pPr>
        <w:spacing w:line="240" w:lineRule="auto"/>
        <w:rPr>
          <w:i/>
          <w:color w:val="7030A0"/>
        </w:rPr>
      </w:pPr>
      <w:r w:rsidRPr="0067484C">
        <w:t>If an operator is using banksmen, they must ensure:</w:t>
      </w:r>
    </w:p>
    <w:p w:rsidR="0067484C" w:rsidRPr="0067484C" w:rsidRDefault="0067484C" w:rsidP="00D33723">
      <w:pPr>
        <w:pStyle w:val="ListParagraph"/>
        <w:numPr>
          <w:ilvl w:val="0"/>
          <w:numId w:val="25"/>
        </w:numPr>
        <w:spacing w:line="240" w:lineRule="auto"/>
      </w:pPr>
      <w:r w:rsidRPr="0067484C">
        <w:t>The banksmen are trained</w:t>
      </w:r>
    </w:p>
    <w:p w:rsidR="0067484C" w:rsidRPr="0067484C" w:rsidRDefault="0067484C" w:rsidP="00D33723">
      <w:pPr>
        <w:pStyle w:val="ListParagraph"/>
        <w:numPr>
          <w:ilvl w:val="0"/>
          <w:numId w:val="25"/>
        </w:numPr>
        <w:spacing w:line="240" w:lineRule="auto"/>
      </w:pPr>
      <w:r w:rsidRPr="0067484C">
        <w:t>They are clearly visible to drivers at all times</w:t>
      </w:r>
    </w:p>
    <w:p w:rsidR="0067484C" w:rsidRPr="0067484C" w:rsidRDefault="0067484C" w:rsidP="00D33723">
      <w:pPr>
        <w:pStyle w:val="ListParagraph"/>
        <w:numPr>
          <w:ilvl w:val="0"/>
          <w:numId w:val="25"/>
        </w:numPr>
        <w:spacing w:line="240" w:lineRule="auto"/>
      </w:pPr>
      <w:r w:rsidRPr="0067484C">
        <w:t>A clear and recognised system is adopted</w:t>
      </w:r>
    </w:p>
    <w:p w:rsidR="0067484C" w:rsidRPr="0067484C" w:rsidRDefault="0067484C" w:rsidP="00D33723">
      <w:pPr>
        <w:pStyle w:val="ListParagraph"/>
        <w:numPr>
          <w:ilvl w:val="0"/>
          <w:numId w:val="25"/>
        </w:numPr>
        <w:spacing w:line="240" w:lineRule="auto"/>
        <w:rPr>
          <w:i/>
          <w:color w:val="7030A0"/>
        </w:rPr>
      </w:pPr>
      <w:r w:rsidRPr="0067484C">
        <w:t>They stand in a safe position</w:t>
      </w:r>
    </w:p>
    <w:p w:rsidR="00D33723" w:rsidRDefault="00D33723" w:rsidP="00D33723">
      <w:pPr>
        <w:spacing w:line="240" w:lineRule="auto"/>
        <w:rPr>
          <w:i/>
          <w:color w:val="7030A0"/>
        </w:rPr>
      </w:pPr>
      <w:r w:rsidRPr="00D33723">
        <w:rPr>
          <w:i/>
          <w:color w:val="7030A0"/>
        </w:rPr>
        <w:t xml:space="preserve">Section 7: </w:t>
      </w:r>
      <w:r>
        <w:rPr>
          <w:i/>
          <w:color w:val="7030A0"/>
        </w:rPr>
        <w:t>Settlement and Compaction</w:t>
      </w:r>
      <w:r w:rsidRPr="00D33723">
        <w:rPr>
          <w:i/>
          <w:color w:val="7030A0"/>
        </w:rPr>
        <w:t xml:space="preserve">, page </w:t>
      </w:r>
      <w:r>
        <w:rPr>
          <w:i/>
          <w:color w:val="7030A0"/>
        </w:rPr>
        <w:t>5</w:t>
      </w:r>
      <w:r w:rsidR="00AB233B">
        <w:rPr>
          <w:i/>
          <w:color w:val="7030A0"/>
        </w:rPr>
        <w:t>0</w:t>
      </w:r>
    </w:p>
    <w:p w:rsidR="00D33723" w:rsidRPr="00D33723" w:rsidRDefault="00D33723" w:rsidP="00D33723">
      <w:pPr>
        <w:spacing w:line="240" w:lineRule="auto"/>
      </w:pPr>
      <w:r w:rsidRPr="00D33723">
        <w:rPr>
          <w:b/>
        </w:rPr>
        <w:t xml:space="preserve">Settlement: </w:t>
      </w:r>
      <w:r w:rsidRPr="00D33723">
        <w:t>the amount by which a landfill surface sinks below its original level due to compaction by its own weight and degradation of waste. This must be assessed to minimise the risk posed by environmental management infrastructure.</w:t>
      </w:r>
    </w:p>
    <w:p w:rsidR="00D33723" w:rsidRDefault="00D33723" w:rsidP="00D33723">
      <w:pPr>
        <w:spacing w:line="240" w:lineRule="auto"/>
        <w:rPr>
          <w:i/>
          <w:color w:val="7030A0"/>
        </w:rPr>
      </w:pPr>
      <w:r w:rsidRPr="00D33723">
        <w:rPr>
          <w:i/>
          <w:color w:val="7030A0"/>
        </w:rPr>
        <w:t xml:space="preserve">Section 7: </w:t>
      </w:r>
      <w:r>
        <w:rPr>
          <w:i/>
          <w:color w:val="7030A0"/>
        </w:rPr>
        <w:t>Survey Control Stations</w:t>
      </w:r>
      <w:r w:rsidRPr="00D33723">
        <w:rPr>
          <w:i/>
          <w:color w:val="7030A0"/>
        </w:rPr>
        <w:t xml:space="preserve">, page </w:t>
      </w:r>
      <w:r>
        <w:rPr>
          <w:i/>
          <w:color w:val="7030A0"/>
        </w:rPr>
        <w:t>5</w:t>
      </w:r>
      <w:r w:rsidR="00AB233B">
        <w:rPr>
          <w:i/>
          <w:color w:val="7030A0"/>
        </w:rPr>
        <w:t>1</w:t>
      </w:r>
    </w:p>
    <w:p w:rsidR="00D33723" w:rsidRPr="00D33723" w:rsidRDefault="00D33723" w:rsidP="00D33723">
      <w:pPr>
        <w:spacing w:line="240" w:lineRule="auto"/>
      </w:pPr>
      <w:r w:rsidRPr="00D33723">
        <w:t xml:space="preserve">Assessments of stability should include:  </w:t>
      </w:r>
    </w:p>
    <w:p w:rsidR="00D33723" w:rsidRPr="00D33723" w:rsidRDefault="00D33723" w:rsidP="00D33723">
      <w:pPr>
        <w:pStyle w:val="ListParagraph"/>
        <w:numPr>
          <w:ilvl w:val="0"/>
          <w:numId w:val="26"/>
        </w:numPr>
        <w:spacing w:line="240" w:lineRule="auto"/>
      </w:pPr>
      <w:r w:rsidRPr="00D33723">
        <w:t>Effects of settlement on landfill cap</w:t>
      </w:r>
    </w:p>
    <w:p w:rsidR="00D33723" w:rsidRPr="00D33723" w:rsidRDefault="00D33723" w:rsidP="00D33723">
      <w:pPr>
        <w:pStyle w:val="ListParagraph"/>
        <w:numPr>
          <w:ilvl w:val="0"/>
          <w:numId w:val="26"/>
        </w:numPr>
        <w:spacing w:line="240" w:lineRule="auto"/>
      </w:pPr>
      <w:r w:rsidRPr="00D33723">
        <w:t>Slippage within the foundation or liner system</w:t>
      </w:r>
    </w:p>
    <w:p w:rsidR="00D33723" w:rsidRPr="00D33723" w:rsidRDefault="00D33723" w:rsidP="00D33723">
      <w:pPr>
        <w:pStyle w:val="ListParagraph"/>
        <w:numPr>
          <w:ilvl w:val="0"/>
          <w:numId w:val="26"/>
        </w:numPr>
        <w:spacing w:line="240" w:lineRule="auto"/>
      </w:pPr>
      <w:r w:rsidRPr="00D33723">
        <w:t>Rotational failure within the waste</w:t>
      </w:r>
    </w:p>
    <w:p w:rsidR="00D33723" w:rsidRPr="00D33723" w:rsidRDefault="00D33723" w:rsidP="00D33723">
      <w:pPr>
        <w:spacing w:line="240" w:lineRule="auto"/>
        <w:rPr>
          <w:i/>
          <w:color w:val="7030A0"/>
        </w:rPr>
      </w:pPr>
      <w:r w:rsidRPr="00D33723">
        <w:rPr>
          <w:i/>
          <w:color w:val="7030A0"/>
        </w:rPr>
        <w:t xml:space="preserve">Section 7: </w:t>
      </w:r>
      <w:r>
        <w:rPr>
          <w:i/>
          <w:color w:val="7030A0"/>
        </w:rPr>
        <w:t>Damage</w:t>
      </w:r>
      <w:r w:rsidRPr="00D33723">
        <w:rPr>
          <w:i/>
          <w:color w:val="7030A0"/>
        </w:rPr>
        <w:t>, page 5</w:t>
      </w:r>
      <w:r w:rsidR="00AB233B">
        <w:rPr>
          <w:i/>
          <w:color w:val="7030A0"/>
        </w:rPr>
        <w:t>2</w:t>
      </w:r>
    </w:p>
    <w:p w:rsidR="00D33723" w:rsidRDefault="00D33723" w:rsidP="00D33723">
      <w:pPr>
        <w:spacing w:line="240" w:lineRule="auto"/>
      </w:pPr>
      <w:r>
        <w:t>A liner system should be stable, robust, durable, resistant to chemical attack, difficult to puncture or rupture and have a low permeability.</w:t>
      </w:r>
    </w:p>
    <w:p w:rsidR="00D33723" w:rsidRDefault="00D33723" w:rsidP="00D33723">
      <w:pPr>
        <w:spacing w:line="240" w:lineRule="auto"/>
      </w:pPr>
      <w:r>
        <w:t>The design may provide robustness, durability and puncture resistance by:</w:t>
      </w:r>
    </w:p>
    <w:p w:rsidR="00D33723" w:rsidRDefault="00D33723" w:rsidP="00D33723">
      <w:pPr>
        <w:pStyle w:val="ListParagraph"/>
        <w:numPr>
          <w:ilvl w:val="0"/>
          <w:numId w:val="27"/>
        </w:numPr>
        <w:spacing w:line="240" w:lineRule="auto"/>
      </w:pPr>
      <w:r>
        <w:t>Strength of liner components.</w:t>
      </w:r>
    </w:p>
    <w:p w:rsidR="00D33723" w:rsidRDefault="00D33723" w:rsidP="00D33723">
      <w:pPr>
        <w:pStyle w:val="ListParagraph"/>
        <w:numPr>
          <w:ilvl w:val="0"/>
          <w:numId w:val="27"/>
        </w:numPr>
        <w:spacing w:line="240" w:lineRule="auto"/>
      </w:pPr>
      <w:r>
        <w:t>Combination of components.</w:t>
      </w:r>
    </w:p>
    <w:p w:rsidR="00D33723" w:rsidRDefault="00D33723" w:rsidP="00D33723">
      <w:pPr>
        <w:pStyle w:val="ListParagraph"/>
        <w:numPr>
          <w:ilvl w:val="0"/>
          <w:numId w:val="27"/>
        </w:numPr>
        <w:spacing w:line="240" w:lineRule="auto"/>
      </w:pPr>
      <w:r>
        <w:t>Physical thickness.</w:t>
      </w:r>
    </w:p>
    <w:p w:rsidR="00D33723" w:rsidRDefault="00D33723" w:rsidP="00D33723">
      <w:pPr>
        <w:pStyle w:val="ListParagraph"/>
        <w:numPr>
          <w:ilvl w:val="0"/>
          <w:numId w:val="27"/>
        </w:numPr>
        <w:spacing w:line="240" w:lineRule="auto"/>
      </w:pPr>
      <w:r>
        <w:t>Protective layers</w:t>
      </w:r>
      <w:r w:rsidR="00EC1D12">
        <w:t>.</w:t>
      </w:r>
    </w:p>
    <w:p w:rsidR="00D33723" w:rsidRPr="00CE3695" w:rsidRDefault="00D33723" w:rsidP="00D33723">
      <w:pPr>
        <w:spacing w:line="240" w:lineRule="auto"/>
      </w:pPr>
      <w:r>
        <w:t>When placing an artificial sealing liner, operators should ensure that it is not damaged by the placement machinery.</w:t>
      </w:r>
    </w:p>
    <w:p w:rsidR="00F517F2" w:rsidRDefault="00F517F2" w:rsidP="00972763"/>
    <w:p w:rsidR="00D33723" w:rsidRDefault="00D33723" w:rsidP="00972763"/>
    <w:p w:rsidR="00635028" w:rsidRDefault="00635028" w:rsidP="00D33723">
      <w:pPr>
        <w:spacing w:line="240" w:lineRule="auto"/>
        <w:rPr>
          <w:i/>
          <w:color w:val="7030A0"/>
        </w:rPr>
      </w:pPr>
    </w:p>
    <w:p w:rsidR="00D33723" w:rsidRPr="00D33723" w:rsidRDefault="00D33723" w:rsidP="00D33723">
      <w:pPr>
        <w:spacing w:line="240" w:lineRule="auto"/>
        <w:rPr>
          <w:i/>
          <w:color w:val="7030A0"/>
        </w:rPr>
      </w:pPr>
      <w:r w:rsidRPr="00D33723">
        <w:rPr>
          <w:i/>
          <w:color w:val="7030A0"/>
        </w:rPr>
        <w:t xml:space="preserve">Section </w:t>
      </w:r>
      <w:r>
        <w:rPr>
          <w:i/>
          <w:color w:val="7030A0"/>
        </w:rPr>
        <w:t>8</w:t>
      </w:r>
      <w:r w:rsidRPr="00D33723">
        <w:rPr>
          <w:i/>
          <w:color w:val="7030A0"/>
        </w:rPr>
        <w:t xml:space="preserve">: </w:t>
      </w:r>
      <w:r>
        <w:rPr>
          <w:i/>
          <w:color w:val="7030A0"/>
        </w:rPr>
        <w:t>Monitoring</w:t>
      </w:r>
      <w:r w:rsidRPr="00D33723">
        <w:rPr>
          <w:i/>
          <w:color w:val="7030A0"/>
        </w:rPr>
        <w:t>, page 5</w:t>
      </w:r>
      <w:r w:rsidR="00AB233B">
        <w:rPr>
          <w:i/>
          <w:color w:val="7030A0"/>
        </w:rPr>
        <w:t>5</w:t>
      </w:r>
    </w:p>
    <w:p w:rsidR="00D33723" w:rsidRPr="003362A5" w:rsidRDefault="00D33723" w:rsidP="00D33723">
      <w:pPr>
        <w:spacing w:line="240" w:lineRule="auto"/>
      </w:pPr>
      <w:r w:rsidRPr="003362A5">
        <w:t>Routine monitoring of groundwater and surface water is required to maintain continuity with the initial characterisation monitoring programme and to concentrate efforts on comparing the performance of landfill operations with conditions specified in the site permit or authorisation documents.</w:t>
      </w:r>
    </w:p>
    <w:p w:rsidR="00D33723" w:rsidRPr="00BF5466" w:rsidRDefault="00D33723" w:rsidP="00D33723">
      <w:pPr>
        <w:spacing w:line="240" w:lineRule="auto"/>
        <w:rPr>
          <w:color w:val="00B050"/>
        </w:rPr>
      </w:pPr>
      <w:r w:rsidRPr="003362A5">
        <w:t>Indicator measurements form part of routine monitoring. It involves taking more frequent monitoring measurements specified for compliance purposes and to measure the impact of leachate levels.</w:t>
      </w:r>
      <w:r w:rsidR="00BF5466" w:rsidRPr="003362A5">
        <w:t xml:space="preserve"> </w:t>
      </w:r>
      <w:r w:rsidRPr="003362A5">
        <w:t xml:space="preserve">The site risk assessment should establish whether </w:t>
      </w:r>
      <w:r w:rsidRPr="00D33723">
        <w:t>the site complies with the groundwater regulations and landfill regulations.</w:t>
      </w:r>
    </w:p>
    <w:p w:rsidR="00D33723" w:rsidRPr="00D33723" w:rsidRDefault="00D33723" w:rsidP="00D33723">
      <w:pPr>
        <w:spacing w:line="240" w:lineRule="auto"/>
      </w:pPr>
      <w:r w:rsidRPr="00D33723">
        <w:t>For engineered containment sites where a leachate leak is likely to be diffuse, at least one borehole should be provided per 100m width of the site on the down-gradient landfill site margin. They should be no closer than 10m to the edge of the landfill and no further than 100m from the waste margin.</w:t>
      </w:r>
    </w:p>
    <w:p w:rsidR="00D33723" w:rsidRPr="00D33723" w:rsidRDefault="00D33723" w:rsidP="00D33723">
      <w:pPr>
        <w:spacing w:line="240" w:lineRule="auto"/>
      </w:pPr>
      <w:r w:rsidRPr="00D33723">
        <w:t>Assessment criteria are designed to highlight the development of adverse trends in monitoring data to site management and the regulator.</w:t>
      </w:r>
    </w:p>
    <w:p w:rsidR="00AB233B" w:rsidRDefault="00D33723" w:rsidP="00AB233B">
      <w:pPr>
        <w:spacing w:line="240" w:lineRule="auto"/>
        <w:rPr>
          <w:i/>
          <w:color w:val="7030A0"/>
        </w:rPr>
      </w:pPr>
      <w:r w:rsidRPr="00D33723">
        <w:rPr>
          <w:i/>
          <w:color w:val="7030A0"/>
        </w:rPr>
        <w:t xml:space="preserve">Section </w:t>
      </w:r>
      <w:r>
        <w:rPr>
          <w:i/>
          <w:color w:val="7030A0"/>
        </w:rPr>
        <w:t>9</w:t>
      </w:r>
      <w:r w:rsidRPr="00D33723">
        <w:rPr>
          <w:i/>
          <w:color w:val="7030A0"/>
        </w:rPr>
        <w:t xml:space="preserve">: </w:t>
      </w:r>
      <w:r w:rsidR="00BF5466">
        <w:rPr>
          <w:i/>
          <w:color w:val="7030A0"/>
        </w:rPr>
        <w:t>Records, Submissions and Notifications</w:t>
      </w:r>
      <w:r w:rsidRPr="00D33723">
        <w:rPr>
          <w:i/>
          <w:color w:val="7030A0"/>
        </w:rPr>
        <w:t xml:space="preserve">, page </w:t>
      </w:r>
      <w:r w:rsidR="00AB233B">
        <w:rPr>
          <w:i/>
          <w:color w:val="7030A0"/>
        </w:rPr>
        <w:t>59</w:t>
      </w:r>
    </w:p>
    <w:p w:rsidR="00BF5466" w:rsidRDefault="00BF5466" w:rsidP="00AB233B">
      <w:pPr>
        <w:spacing w:line="240" w:lineRule="auto"/>
      </w:pPr>
      <w:r>
        <w:t>Operators must keep records to demonstrate that they are operating and managing the activities in compliance with their management system.</w:t>
      </w:r>
    </w:p>
    <w:p w:rsidR="00BF5466" w:rsidRDefault="00BF5466" w:rsidP="00BF5466">
      <w:pPr>
        <w:pStyle w:val="ListParagraph"/>
        <w:numPr>
          <w:ilvl w:val="0"/>
          <w:numId w:val="28"/>
        </w:numPr>
        <w:spacing w:line="240" w:lineRule="auto"/>
      </w:pPr>
      <w:r>
        <w:t>A management system can be used to explain what records are going to be kept and where they will be held.</w:t>
      </w:r>
    </w:p>
    <w:p w:rsidR="00BF5466" w:rsidRDefault="00BF5466" w:rsidP="00BF5466">
      <w:pPr>
        <w:pStyle w:val="ListParagraph"/>
        <w:numPr>
          <w:ilvl w:val="0"/>
          <w:numId w:val="28"/>
        </w:numPr>
        <w:spacing w:line="240" w:lineRule="auto"/>
      </w:pPr>
      <w:r>
        <w:t>The management system also ensures records are kept up to date.</w:t>
      </w:r>
    </w:p>
    <w:p w:rsidR="00BF5466" w:rsidRDefault="00BF5466" w:rsidP="00BF5466">
      <w:pPr>
        <w:pStyle w:val="ListParagraph"/>
        <w:numPr>
          <w:ilvl w:val="0"/>
          <w:numId w:val="28"/>
        </w:numPr>
        <w:spacing w:line="240" w:lineRule="auto"/>
      </w:pPr>
      <w:r>
        <w:t>The regulator expects operators to record changes made to their management systems and the dates they happen, including as a result of notifications to regulators or following permit variation.</w:t>
      </w:r>
    </w:p>
    <w:p w:rsidR="00BF5466" w:rsidRPr="00D33723" w:rsidRDefault="00BF5466" w:rsidP="00D33723">
      <w:pPr>
        <w:spacing w:line="240" w:lineRule="auto"/>
        <w:rPr>
          <w:i/>
          <w:color w:val="7030A0"/>
        </w:rPr>
      </w:pPr>
    </w:p>
    <w:p w:rsidR="00635028" w:rsidRDefault="00635028" w:rsidP="00BF5466">
      <w:pPr>
        <w:spacing w:line="240" w:lineRule="auto"/>
        <w:rPr>
          <w:b/>
          <w:color w:val="7030A0"/>
        </w:rPr>
      </w:pPr>
    </w:p>
    <w:p w:rsidR="00BF5466" w:rsidRPr="00BF5466" w:rsidRDefault="00BF5466" w:rsidP="00BF5466">
      <w:pPr>
        <w:spacing w:line="240" w:lineRule="auto"/>
        <w:rPr>
          <w:b/>
          <w:color w:val="7030A0"/>
        </w:rPr>
      </w:pPr>
      <w:bookmarkStart w:id="0" w:name="_GoBack"/>
      <w:bookmarkEnd w:id="0"/>
      <w:r w:rsidRPr="00BF5466">
        <w:rPr>
          <w:b/>
          <w:color w:val="7030A0"/>
        </w:rPr>
        <w:t>Records</w:t>
      </w:r>
    </w:p>
    <w:p w:rsidR="00BF5466" w:rsidRDefault="00BF5466" w:rsidP="00BF5466">
      <w:pPr>
        <w:spacing w:line="240" w:lineRule="auto"/>
      </w:pPr>
      <w:r>
        <w:t>Operators must keep the following records to meet the requirements of their permit:</w:t>
      </w:r>
    </w:p>
    <w:p w:rsidR="00BF5466" w:rsidRDefault="00BF5466" w:rsidP="00BF5466">
      <w:pPr>
        <w:pStyle w:val="ListParagraph"/>
        <w:numPr>
          <w:ilvl w:val="0"/>
          <w:numId w:val="29"/>
        </w:numPr>
        <w:spacing w:line="240" w:lineRule="auto"/>
      </w:pPr>
      <w:r>
        <w:t>Compliance checks.</w:t>
      </w:r>
    </w:p>
    <w:p w:rsidR="00BF5466" w:rsidRDefault="00BF5466" w:rsidP="00BF5466">
      <w:pPr>
        <w:pStyle w:val="ListParagraph"/>
        <w:numPr>
          <w:ilvl w:val="0"/>
          <w:numId w:val="29"/>
        </w:numPr>
        <w:spacing w:line="240" w:lineRule="auto"/>
      </w:pPr>
      <w:r>
        <w:t>Investigation findings.</w:t>
      </w:r>
    </w:p>
    <w:p w:rsidR="00BF5466" w:rsidRDefault="00BF5466" w:rsidP="00BF5466">
      <w:pPr>
        <w:pStyle w:val="ListParagraph"/>
        <w:numPr>
          <w:ilvl w:val="0"/>
          <w:numId w:val="29"/>
        </w:numPr>
        <w:spacing w:line="240" w:lineRule="auto"/>
      </w:pPr>
      <w:r>
        <w:t>Actions taken.</w:t>
      </w:r>
    </w:p>
    <w:p w:rsidR="00BF5466" w:rsidRDefault="00BF5466" w:rsidP="00BF5466">
      <w:pPr>
        <w:pStyle w:val="ListParagraph"/>
        <w:numPr>
          <w:ilvl w:val="0"/>
          <w:numId w:val="29"/>
        </w:numPr>
        <w:spacing w:line="240" w:lineRule="auto"/>
      </w:pPr>
      <w:r>
        <w:t>Complaints.</w:t>
      </w:r>
    </w:p>
    <w:p w:rsidR="00BF5466" w:rsidRPr="00A272E3" w:rsidRDefault="00BF5466" w:rsidP="00BF5466">
      <w:pPr>
        <w:pStyle w:val="ListParagraph"/>
        <w:numPr>
          <w:ilvl w:val="0"/>
          <w:numId w:val="29"/>
        </w:numPr>
        <w:spacing w:line="240" w:lineRule="auto"/>
      </w:pPr>
      <w:r>
        <w:t>Audits.</w:t>
      </w:r>
    </w:p>
    <w:p w:rsidR="00BC5A75" w:rsidRDefault="00BC5A75" w:rsidP="00BC5A75">
      <w:pPr>
        <w:spacing w:line="240" w:lineRule="auto"/>
        <w:rPr>
          <w:i/>
          <w:color w:val="7030A0"/>
        </w:rPr>
      </w:pPr>
      <w:r w:rsidRPr="00BC5A75">
        <w:rPr>
          <w:i/>
          <w:color w:val="7030A0"/>
        </w:rPr>
        <w:t xml:space="preserve">Section </w:t>
      </w:r>
      <w:r>
        <w:rPr>
          <w:i/>
          <w:color w:val="7030A0"/>
        </w:rPr>
        <w:t>10</w:t>
      </w:r>
      <w:r w:rsidRPr="00BC5A75">
        <w:rPr>
          <w:i/>
          <w:color w:val="7030A0"/>
        </w:rPr>
        <w:t>:</w:t>
      </w:r>
      <w:r>
        <w:rPr>
          <w:i/>
          <w:color w:val="7030A0"/>
        </w:rPr>
        <w:t xml:space="preserve"> </w:t>
      </w:r>
      <w:r w:rsidR="00363285">
        <w:rPr>
          <w:i/>
          <w:color w:val="7030A0"/>
        </w:rPr>
        <w:t>Plans</w:t>
      </w:r>
      <w:r w:rsidRPr="00BC5A75">
        <w:rPr>
          <w:i/>
          <w:color w:val="7030A0"/>
        </w:rPr>
        <w:t xml:space="preserve">, page </w:t>
      </w:r>
      <w:r>
        <w:rPr>
          <w:i/>
          <w:color w:val="7030A0"/>
        </w:rPr>
        <w:t>6</w:t>
      </w:r>
      <w:r w:rsidR="00AB233B">
        <w:rPr>
          <w:i/>
          <w:color w:val="7030A0"/>
        </w:rPr>
        <w:t>2</w:t>
      </w:r>
    </w:p>
    <w:p w:rsidR="00BC5A75" w:rsidRDefault="00BC5A75" w:rsidP="00BC5A75">
      <w:pPr>
        <w:spacing w:line="240" w:lineRule="auto"/>
      </w:pPr>
      <w:r>
        <w:t xml:space="preserve">Operators </w:t>
      </w:r>
      <w:r w:rsidR="00363285">
        <w:t xml:space="preserve">need </w:t>
      </w:r>
      <w:r>
        <w:t>to review their site closure plan at least once every four years. It should also be reviewed if there are any proposed changes to the phasing of the landfill.</w:t>
      </w:r>
    </w:p>
    <w:p w:rsidR="00BC5A75" w:rsidRDefault="00BC5A75" w:rsidP="00BC5A75">
      <w:pPr>
        <w:spacing w:line="240" w:lineRule="auto"/>
      </w:pPr>
      <w:r>
        <w:t>The plan should include:</w:t>
      </w:r>
    </w:p>
    <w:p w:rsidR="00BC5A75" w:rsidRDefault="00BC5A75" w:rsidP="00BC5A75">
      <w:pPr>
        <w:pStyle w:val="ListParagraph"/>
        <w:numPr>
          <w:ilvl w:val="0"/>
          <w:numId w:val="30"/>
        </w:numPr>
        <w:spacing w:line="240" w:lineRule="auto"/>
      </w:pPr>
      <w:r>
        <w:t>Plans for underground pipes/vessels.</w:t>
      </w:r>
    </w:p>
    <w:p w:rsidR="00BC5A75" w:rsidRDefault="00BC5A75" w:rsidP="00BC5A75">
      <w:pPr>
        <w:pStyle w:val="ListParagraph"/>
        <w:numPr>
          <w:ilvl w:val="0"/>
          <w:numId w:val="30"/>
        </w:numPr>
        <w:spacing w:line="240" w:lineRule="auto"/>
      </w:pPr>
      <w:r>
        <w:t>Method and resource for cleaning lagoons.</w:t>
      </w:r>
    </w:p>
    <w:p w:rsidR="00BC5A75" w:rsidRDefault="00BC5A75" w:rsidP="00BC5A75">
      <w:pPr>
        <w:pStyle w:val="ListParagraph"/>
        <w:numPr>
          <w:ilvl w:val="0"/>
          <w:numId w:val="30"/>
        </w:numPr>
        <w:spacing w:line="240" w:lineRule="auto"/>
      </w:pPr>
      <w:r>
        <w:t>Removal of harmful materials.</w:t>
      </w:r>
    </w:p>
    <w:p w:rsidR="00BC5A75" w:rsidRDefault="00BC5A75" w:rsidP="00BC5A75">
      <w:pPr>
        <w:pStyle w:val="ListParagraph"/>
        <w:numPr>
          <w:ilvl w:val="0"/>
          <w:numId w:val="30"/>
        </w:numPr>
        <w:spacing w:line="240" w:lineRule="auto"/>
      </w:pPr>
      <w:r>
        <w:t>Dismantling of buildings/structures.</w:t>
      </w:r>
    </w:p>
    <w:p w:rsidR="00BC5A75" w:rsidRPr="00A272E3" w:rsidRDefault="00BC5A75" w:rsidP="00BC5A75">
      <w:pPr>
        <w:pStyle w:val="ListParagraph"/>
        <w:numPr>
          <w:ilvl w:val="0"/>
          <w:numId w:val="30"/>
        </w:numPr>
        <w:spacing w:line="240" w:lineRule="auto"/>
      </w:pPr>
      <w:r>
        <w:t>Soil testing to ascertain the degree of pollution.</w:t>
      </w:r>
    </w:p>
    <w:p w:rsidR="00BC5A75" w:rsidRPr="00BC5A75" w:rsidRDefault="00BC5A75" w:rsidP="00A03382">
      <w:pPr>
        <w:spacing w:line="240" w:lineRule="auto"/>
        <w:rPr>
          <w:szCs w:val="20"/>
        </w:rPr>
      </w:pPr>
      <w:r w:rsidRPr="00BC5A75">
        <w:rPr>
          <w:szCs w:val="20"/>
        </w:rPr>
        <w:t>A closure and aftercare plan sets out how an operator will close their site and manage it during the aftercare phase. It should include:</w:t>
      </w:r>
    </w:p>
    <w:p w:rsidR="00BC5A75" w:rsidRPr="00BC5A75" w:rsidRDefault="00BC5A75" w:rsidP="00A03382">
      <w:pPr>
        <w:pStyle w:val="ListParagraph"/>
        <w:numPr>
          <w:ilvl w:val="0"/>
          <w:numId w:val="31"/>
        </w:numPr>
        <w:spacing w:line="240" w:lineRule="auto"/>
        <w:rPr>
          <w:szCs w:val="20"/>
        </w:rPr>
      </w:pPr>
      <w:r w:rsidRPr="00BC5A75">
        <w:rPr>
          <w:szCs w:val="20"/>
        </w:rPr>
        <w:t>How the landfill will be closed when it stops accepting waste</w:t>
      </w:r>
    </w:p>
    <w:p w:rsidR="00BC5A75" w:rsidRPr="00BC5A75" w:rsidRDefault="00BC5A75" w:rsidP="00A03382">
      <w:pPr>
        <w:pStyle w:val="ListParagraph"/>
        <w:numPr>
          <w:ilvl w:val="0"/>
          <w:numId w:val="31"/>
        </w:numPr>
        <w:spacing w:line="240" w:lineRule="auto"/>
        <w:rPr>
          <w:szCs w:val="20"/>
        </w:rPr>
      </w:pPr>
      <w:r w:rsidRPr="00BC5A75">
        <w:rPr>
          <w:szCs w:val="20"/>
        </w:rPr>
        <w:t>When the operator will stop actively managing the landfill</w:t>
      </w:r>
    </w:p>
    <w:p w:rsidR="00BC5A75" w:rsidRPr="00BC5A75" w:rsidRDefault="00BC5A75" w:rsidP="00A03382">
      <w:pPr>
        <w:pStyle w:val="ListParagraph"/>
        <w:numPr>
          <w:ilvl w:val="0"/>
          <w:numId w:val="31"/>
        </w:numPr>
        <w:spacing w:line="240" w:lineRule="auto"/>
        <w:rPr>
          <w:szCs w:val="20"/>
        </w:rPr>
      </w:pPr>
      <w:r w:rsidRPr="00BC5A75">
        <w:rPr>
          <w:szCs w:val="20"/>
        </w:rPr>
        <w:t>When the landfill will be ready for the operator to surrender their permit</w:t>
      </w:r>
    </w:p>
    <w:p w:rsidR="00BC5A75" w:rsidRPr="00BC5A75" w:rsidRDefault="00BC5A75" w:rsidP="00A03382">
      <w:pPr>
        <w:spacing w:line="240" w:lineRule="auto"/>
        <w:rPr>
          <w:i/>
          <w:color w:val="7030A0"/>
          <w:sz w:val="24"/>
        </w:rPr>
      </w:pPr>
      <w:r w:rsidRPr="00BC5A75">
        <w:t>Restoration involves installing the cap, drainage layer and soils to protect the cap.</w:t>
      </w:r>
    </w:p>
    <w:p w:rsidR="00BC5A75" w:rsidRDefault="00BC5A75" w:rsidP="00A03382">
      <w:pPr>
        <w:spacing w:line="240" w:lineRule="auto"/>
        <w:rPr>
          <w:i/>
          <w:color w:val="7030A0"/>
        </w:rPr>
      </w:pPr>
      <w:r w:rsidRPr="00BC5A75">
        <w:rPr>
          <w:i/>
          <w:color w:val="7030A0"/>
        </w:rPr>
        <w:t xml:space="preserve">Section </w:t>
      </w:r>
      <w:r>
        <w:rPr>
          <w:i/>
          <w:color w:val="7030A0"/>
        </w:rPr>
        <w:t>10</w:t>
      </w:r>
      <w:r w:rsidRPr="00BC5A75">
        <w:rPr>
          <w:i/>
          <w:color w:val="7030A0"/>
        </w:rPr>
        <w:t>:</w:t>
      </w:r>
      <w:r>
        <w:rPr>
          <w:i/>
          <w:color w:val="7030A0"/>
        </w:rPr>
        <w:t xml:space="preserve"> </w:t>
      </w:r>
      <w:r w:rsidR="00F269D0">
        <w:rPr>
          <w:i/>
          <w:color w:val="7030A0"/>
        </w:rPr>
        <w:t>Surrender</w:t>
      </w:r>
      <w:r w:rsidRPr="00BC5A75">
        <w:rPr>
          <w:i/>
          <w:color w:val="7030A0"/>
        </w:rPr>
        <w:t xml:space="preserve">, page </w:t>
      </w:r>
      <w:r>
        <w:rPr>
          <w:i/>
          <w:color w:val="7030A0"/>
        </w:rPr>
        <w:t>63</w:t>
      </w:r>
    </w:p>
    <w:p w:rsidR="00BC5A75" w:rsidRDefault="00BC5A75" w:rsidP="00A03382">
      <w:pPr>
        <w:spacing w:line="240" w:lineRule="auto"/>
      </w:pPr>
      <w:r w:rsidRPr="00364347">
        <w:t xml:space="preserve">A surrender assessment must include a description of the wastes that have been accepted and a review of technical measures. The description of waste should be based on waste acceptance and deposit records collected during the operational phases of the site. </w:t>
      </w:r>
    </w:p>
    <w:p w:rsidR="00BC5A75" w:rsidRDefault="00BC5A75" w:rsidP="00A03382">
      <w:pPr>
        <w:spacing w:line="240" w:lineRule="auto"/>
      </w:pPr>
    </w:p>
    <w:p w:rsidR="00BC5A75" w:rsidRDefault="00BC5A75" w:rsidP="00A03382">
      <w:pPr>
        <w:spacing w:line="240" w:lineRule="auto"/>
      </w:pPr>
      <w:r w:rsidRPr="00364347">
        <w:t>For a hazardous landfill, operators should include a description of the waste types and hazards within each phase or cell.</w:t>
      </w:r>
    </w:p>
    <w:p w:rsidR="00BC5A75" w:rsidRPr="00BC5A75" w:rsidRDefault="00BC5A75" w:rsidP="00A03382">
      <w:pPr>
        <w:spacing w:line="240" w:lineRule="auto"/>
      </w:pPr>
      <w:r w:rsidRPr="00BC5A75">
        <w:t>Operators must ensure that any hazardous waste is isolated by a suitable thickness of soil or robust capping layer. The operator must ensure that the separation layer or cap is designed based on the potential harm the waste can cause.</w:t>
      </w:r>
    </w:p>
    <w:p w:rsidR="00BC5A75" w:rsidRPr="00BC5A75" w:rsidRDefault="00BC5A75" w:rsidP="00A03382">
      <w:pPr>
        <w:spacing w:line="240" w:lineRule="auto"/>
      </w:pPr>
      <w:r w:rsidRPr="00BC5A75">
        <w:t>The length of aftercare monitoring will depend on:</w:t>
      </w:r>
    </w:p>
    <w:p w:rsidR="00BC5A75" w:rsidRPr="00BC5A75" w:rsidRDefault="00BC5A75" w:rsidP="00A03382">
      <w:pPr>
        <w:pStyle w:val="ListParagraph"/>
        <w:numPr>
          <w:ilvl w:val="0"/>
          <w:numId w:val="32"/>
        </w:numPr>
        <w:spacing w:line="240" w:lineRule="auto"/>
      </w:pPr>
      <w:r w:rsidRPr="00BC5A75">
        <w:t>Stabilisation of conditions</w:t>
      </w:r>
    </w:p>
    <w:p w:rsidR="00BC5A75" w:rsidRPr="00BC5A75" w:rsidRDefault="00BC5A75" w:rsidP="00A03382">
      <w:pPr>
        <w:pStyle w:val="ListParagraph"/>
        <w:numPr>
          <w:ilvl w:val="0"/>
          <w:numId w:val="32"/>
        </w:numPr>
        <w:spacing w:line="240" w:lineRule="auto"/>
      </w:pPr>
      <w:r w:rsidRPr="00BC5A75">
        <w:t>Degradation of passive control measures</w:t>
      </w:r>
    </w:p>
    <w:p w:rsidR="00BC5A75" w:rsidRPr="00BC5A75" w:rsidRDefault="00BC5A75" w:rsidP="00A03382">
      <w:pPr>
        <w:pStyle w:val="ListParagraph"/>
        <w:numPr>
          <w:ilvl w:val="0"/>
          <w:numId w:val="32"/>
        </w:numPr>
        <w:spacing w:line="240" w:lineRule="auto"/>
      </w:pPr>
      <w:r w:rsidRPr="00BC5A75">
        <w:t>Travel time between the waste mass and monitoring infrastructure</w:t>
      </w:r>
    </w:p>
    <w:p w:rsidR="00BC5A75" w:rsidRPr="00BC5A75" w:rsidRDefault="00BC5A75" w:rsidP="00A03382">
      <w:pPr>
        <w:spacing w:line="240" w:lineRule="auto"/>
      </w:pPr>
      <w:r w:rsidRPr="00BC5A75">
        <w:t xml:space="preserve">The aftercare period will last until the permit is successfully surrendered. The operator is responsible for maintaining, monitoring and controlling the site until the </w:t>
      </w:r>
      <w:r w:rsidR="003929D1">
        <w:t>R</w:t>
      </w:r>
      <w:r w:rsidRPr="00BC5A75">
        <w:t>egulator no longer thinks it poses a hazard to the environment.</w:t>
      </w:r>
    </w:p>
    <w:p w:rsidR="00A03382" w:rsidRDefault="00A03382" w:rsidP="00A03382">
      <w:pPr>
        <w:spacing w:line="240" w:lineRule="auto"/>
        <w:rPr>
          <w:i/>
          <w:color w:val="7030A0"/>
        </w:rPr>
      </w:pPr>
      <w:r w:rsidRPr="00BC5A75">
        <w:rPr>
          <w:i/>
          <w:color w:val="7030A0"/>
        </w:rPr>
        <w:t xml:space="preserve">Section </w:t>
      </w:r>
      <w:r>
        <w:rPr>
          <w:i/>
          <w:color w:val="7030A0"/>
        </w:rPr>
        <w:t>1</w:t>
      </w:r>
      <w:r w:rsidR="003929D1">
        <w:rPr>
          <w:i/>
          <w:color w:val="7030A0"/>
        </w:rPr>
        <w:t>1</w:t>
      </w:r>
      <w:r w:rsidRPr="00BC5A75">
        <w:rPr>
          <w:i/>
          <w:color w:val="7030A0"/>
        </w:rPr>
        <w:t>:</w:t>
      </w:r>
      <w:r>
        <w:rPr>
          <w:i/>
          <w:color w:val="7030A0"/>
        </w:rPr>
        <w:t xml:space="preserve"> Ignition Sources</w:t>
      </w:r>
      <w:r w:rsidRPr="00BC5A75">
        <w:rPr>
          <w:i/>
          <w:color w:val="7030A0"/>
        </w:rPr>
        <w:t xml:space="preserve">, page </w:t>
      </w:r>
      <w:r>
        <w:rPr>
          <w:i/>
          <w:color w:val="7030A0"/>
        </w:rPr>
        <w:t>6</w:t>
      </w:r>
      <w:r w:rsidR="00AB233B">
        <w:rPr>
          <w:i/>
          <w:color w:val="7030A0"/>
        </w:rPr>
        <w:t>8</w:t>
      </w:r>
    </w:p>
    <w:p w:rsidR="00A03382" w:rsidRPr="00EB5302" w:rsidRDefault="00A03382" w:rsidP="00A03382">
      <w:pPr>
        <w:spacing w:line="240" w:lineRule="auto"/>
      </w:pPr>
      <w:r w:rsidRPr="00EB5302">
        <w:t>The following control measures should be taken to reduce the risk of fire on a landfill site:</w:t>
      </w:r>
    </w:p>
    <w:p w:rsidR="00A03382" w:rsidRDefault="00A03382" w:rsidP="00A03382">
      <w:pPr>
        <w:pStyle w:val="ListParagraph"/>
        <w:numPr>
          <w:ilvl w:val="0"/>
          <w:numId w:val="33"/>
        </w:numPr>
        <w:spacing w:line="240" w:lineRule="auto"/>
      </w:pPr>
      <w:r w:rsidRPr="00EB5302">
        <w:t>Minimising the probability of an i</w:t>
      </w:r>
      <w:r>
        <w:t>gnition source being introduced.</w:t>
      </w:r>
    </w:p>
    <w:p w:rsidR="00A03382" w:rsidRDefault="00A03382" w:rsidP="00A03382">
      <w:pPr>
        <w:pStyle w:val="ListParagraph"/>
        <w:numPr>
          <w:ilvl w:val="0"/>
          <w:numId w:val="33"/>
        </w:numPr>
        <w:spacing w:line="240" w:lineRule="auto"/>
      </w:pPr>
      <w:r w:rsidRPr="00EB5302">
        <w:t xml:space="preserve">Minimising the number of workers within range </w:t>
      </w:r>
      <w:r>
        <w:t>of a possible fire or explosion.</w:t>
      </w:r>
    </w:p>
    <w:p w:rsidR="00A03382" w:rsidRDefault="00A03382" w:rsidP="00A03382">
      <w:pPr>
        <w:pStyle w:val="ListParagraph"/>
        <w:numPr>
          <w:ilvl w:val="0"/>
          <w:numId w:val="33"/>
        </w:numPr>
        <w:spacing w:line="240" w:lineRule="auto"/>
      </w:pPr>
      <w:r w:rsidRPr="00EB5302">
        <w:t>Maximising the distance between essential personnel</w:t>
      </w:r>
      <w:r>
        <w:t xml:space="preserve"> and the installation operation.</w:t>
      </w:r>
    </w:p>
    <w:p w:rsidR="00A03382" w:rsidRDefault="00A03382" w:rsidP="00A03382">
      <w:pPr>
        <w:pStyle w:val="ListParagraph"/>
        <w:numPr>
          <w:ilvl w:val="0"/>
          <w:numId w:val="33"/>
        </w:numPr>
        <w:spacing w:line="240" w:lineRule="auto"/>
      </w:pPr>
      <w:r>
        <w:t xml:space="preserve">Providing suitable personal </w:t>
      </w:r>
      <w:r w:rsidRPr="00EB5302">
        <w:t>p</w:t>
      </w:r>
      <w:r>
        <w:t xml:space="preserve">rotective </w:t>
      </w:r>
      <w:r w:rsidRPr="00EB5302">
        <w:t>e</w:t>
      </w:r>
      <w:r>
        <w:t>quipment</w:t>
      </w:r>
      <w:r w:rsidRPr="00EB5302">
        <w:t xml:space="preserve"> or other protection for essential personnel.</w:t>
      </w:r>
    </w:p>
    <w:p w:rsidR="00A03382" w:rsidRPr="00B154EB" w:rsidRDefault="00A03382" w:rsidP="00A03382">
      <w:pPr>
        <w:pStyle w:val="ListParagraph"/>
        <w:numPr>
          <w:ilvl w:val="0"/>
          <w:numId w:val="33"/>
        </w:numPr>
        <w:spacing w:line="240" w:lineRule="auto"/>
      </w:pPr>
      <w:r>
        <w:t xml:space="preserve">Using electrical equipment in areas with potentially explosive atmospheres which is periodically inspected against EN 60079-17 to confirm explosion protection is still effective. </w:t>
      </w:r>
    </w:p>
    <w:p w:rsidR="00BC5A75" w:rsidRPr="00BC5A75" w:rsidRDefault="00BC5A75" w:rsidP="00BC5A75">
      <w:pPr>
        <w:spacing w:line="240" w:lineRule="auto"/>
        <w:rPr>
          <w:i/>
          <w:color w:val="7030A0"/>
        </w:rPr>
      </w:pPr>
    </w:p>
    <w:p w:rsidR="00BC5A75" w:rsidRDefault="00BC5A75" w:rsidP="00972763">
      <w:pPr>
        <w:sectPr w:rsidR="00BC5A75" w:rsidSect="00033393">
          <w:headerReference w:type="default" r:id="rId9"/>
          <w:footerReference w:type="default" r:id="rId10"/>
          <w:pgSz w:w="11906" w:h="16838"/>
          <w:pgMar w:top="1440" w:right="1440" w:bottom="1440" w:left="1440" w:header="708" w:footer="708" w:gutter="0"/>
          <w:cols w:num="2" w:space="708"/>
          <w:docGrid w:linePitch="360"/>
        </w:sectPr>
      </w:pPr>
    </w:p>
    <w:p w:rsidR="009B5506" w:rsidRDefault="009B5506" w:rsidP="009253D5">
      <w:pPr>
        <w:spacing w:before="240" w:after="0"/>
        <w:rPr>
          <w:i/>
          <w:color w:val="7030A0"/>
        </w:rPr>
      </w:pPr>
    </w:p>
    <w:p w:rsidR="00C02BF3" w:rsidRPr="00C02BF3" w:rsidRDefault="00C02BF3" w:rsidP="00571170">
      <w:pPr>
        <w:rPr>
          <w:i/>
          <w:color w:val="7030A0"/>
        </w:rPr>
      </w:pPr>
      <w:r>
        <w:rPr>
          <w:i/>
          <w:color w:val="7030A0"/>
        </w:rPr>
        <w:t>Revised List of Sources</w:t>
      </w:r>
    </w:p>
    <w:tbl>
      <w:tblPr>
        <w:tblStyle w:val="TableGrid"/>
        <w:tblW w:w="0" w:type="auto"/>
        <w:tblLayout w:type="fixed"/>
        <w:tblLook w:val="04A0" w:firstRow="1" w:lastRow="0" w:firstColumn="1" w:lastColumn="0" w:noHBand="0" w:noVBand="1"/>
      </w:tblPr>
      <w:tblGrid>
        <w:gridCol w:w="1242"/>
        <w:gridCol w:w="3133"/>
      </w:tblGrid>
      <w:tr w:rsidR="00A03382" w:rsidRPr="00A03382" w:rsidTr="00A03382">
        <w:tc>
          <w:tcPr>
            <w:tcW w:w="1242" w:type="dxa"/>
            <w:shd w:val="clear" w:color="auto" w:fill="7030A0"/>
          </w:tcPr>
          <w:p w:rsidR="00A03382" w:rsidRPr="00A03382" w:rsidRDefault="00A03382" w:rsidP="00A03382">
            <w:pPr>
              <w:spacing w:after="60"/>
              <w:rPr>
                <w:b/>
                <w:color w:val="FFFFFF" w:themeColor="background1"/>
                <w:sz w:val="20"/>
                <w:szCs w:val="20"/>
              </w:rPr>
            </w:pPr>
            <w:r w:rsidRPr="00A03382">
              <w:rPr>
                <w:b/>
                <w:color w:val="FFFFFF" w:themeColor="background1"/>
                <w:sz w:val="20"/>
                <w:szCs w:val="20"/>
              </w:rPr>
              <w:t>Page</w:t>
            </w:r>
          </w:p>
        </w:tc>
        <w:tc>
          <w:tcPr>
            <w:tcW w:w="3133" w:type="dxa"/>
            <w:shd w:val="clear" w:color="auto" w:fill="7030A0"/>
          </w:tcPr>
          <w:p w:rsidR="00A03382" w:rsidRPr="00A03382" w:rsidRDefault="00A03382" w:rsidP="00A03382">
            <w:pPr>
              <w:spacing w:after="60"/>
              <w:rPr>
                <w:b/>
                <w:color w:val="FFFFFF" w:themeColor="background1"/>
                <w:sz w:val="20"/>
                <w:szCs w:val="20"/>
              </w:rPr>
            </w:pPr>
            <w:r w:rsidRPr="00A03382">
              <w:rPr>
                <w:b/>
                <w:color w:val="FFFFFF" w:themeColor="background1"/>
                <w:sz w:val="20"/>
                <w:szCs w:val="20"/>
              </w:rPr>
              <w:t>Source</w:t>
            </w:r>
          </w:p>
        </w:tc>
      </w:tr>
      <w:tr w:rsidR="00A03382" w:rsidRPr="00A03382" w:rsidTr="00A03382">
        <w:tc>
          <w:tcPr>
            <w:tcW w:w="1242" w:type="dxa"/>
          </w:tcPr>
          <w:p w:rsidR="00A03382" w:rsidRPr="00A03382" w:rsidRDefault="00A03382" w:rsidP="00A03382">
            <w:pPr>
              <w:rPr>
                <w:sz w:val="20"/>
                <w:szCs w:val="20"/>
              </w:rPr>
            </w:pPr>
            <w:r w:rsidRPr="00A03382">
              <w:rPr>
                <w:sz w:val="20"/>
                <w:szCs w:val="20"/>
              </w:rPr>
              <w:t>14,15,16,19,23,29,32,38,42,43,44,45,51,52,53</w:t>
            </w:r>
          </w:p>
        </w:tc>
        <w:tc>
          <w:tcPr>
            <w:tcW w:w="3133" w:type="dxa"/>
          </w:tcPr>
          <w:p w:rsidR="00A03382" w:rsidRPr="00A03382" w:rsidRDefault="00E01015" w:rsidP="00A03382">
            <w:pPr>
              <w:rPr>
                <w:sz w:val="20"/>
                <w:szCs w:val="20"/>
              </w:rPr>
            </w:pPr>
            <w:hyperlink r:id="rId11" w:history="1">
              <w:r w:rsidR="00A03382" w:rsidRPr="00A03382">
                <w:rPr>
                  <w:rStyle w:val="Hyperlink"/>
                  <w:sz w:val="20"/>
                  <w:szCs w:val="20"/>
                </w:rPr>
                <w:t>Environment Agency (2009) Landfill: How to comply with your environmental permit</w:t>
              </w:r>
            </w:hyperlink>
            <w:r w:rsidR="00A03382" w:rsidRPr="00A03382">
              <w:rPr>
                <w:color w:val="7030A0"/>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14,15,16,19,23,29,32,38,42,43,44,45,51,52,53,60</w:t>
            </w:r>
          </w:p>
        </w:tc>
        <w:tc>
          <w:tcPr>
            <w:tcW w:w="3133" w:type="dxa"/>
          </w:tcPr>
          <w:p w:rsidR="00A03382" w:rsidRPr="00A03382" w:rsidRDefault="00E01015" w:rsidP="00A03382">
            <w:pPr>
              <w:rPr>
                <w:color w:val="943634" w:themeColor="accent2" w:themeShade="BF"/>
                <w:sz w:val="20"/>
                <w:szCs w:val="20"/>
              </w:rPr>
            </w:pPr>
            <w:hyperlink r:id="rId12" w:history="1">
              <w:r w:rsidR="00A03382" w:rsidRPr="00A03382">
                <w:rPr>
                  <w:rStyle w:val="Hyperlink"/>
                  <w:sz w:val="20"/>
                  <w:szCs w:val="20"/>
                </w:rPr>
                <w:t>Natural Resources Wales (2014) Landfill: How to comply with your environmental permit</w:t>
              </w:r>
            </w:hyperlink>
            <w:r w:rsidR="00A03382" w:rsidRPr="00A03382">
              <w:rPr>
                <w:color w:val="7030A0"/>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16,</w:t>
            </w:r>
          </w:p>
        </w:tc>
        <w:tc>
          <w:tcPr>
            <w:tcW w:w="3133" w:type="dxa"/>
          </w:tcPr>
          <w:p w:rsidR="00A03382" w:rsidRPr="00A03382" w:rsidRDefault="00E01015" w:rsidP="00A03382">
            <w:pPr>
              <w:rPr>
                <w:color w:val="943634" w:themeColor="accent2" w:themeShade="BF"/>
                <w:sz w:val="20"/>
                <w:szCs w:val="20"/>
              </w:rPr>
            </w:pPr>
            <w:hyperlink r:id="rId13" w:history="1">
              <w:r w:rsidR="00A03382" w:rsidRPr="00A03382">
                <w:rPr>
                  <w:rStyle w:val="Hyperlink"/>
                  <w:sz w:val="20"/>
                  <w:szCs w:val="20"/>
                </w:rPr>
                <w:t>Environment Agency (2014) Financial provision for landfill</w:t>
              </w:r>
            </w:hyperlink>
          </w:p>
        </w:tc>
      </w:tr>
      <w:tr w:rsidR="00A03382" w:rsidRPr="00A03382" w:rsidTr="00A03382">
        <w:tc>
          <w:tcPr>
            <w:tcW w:w="1242" w:type="dxa"/>
          </w:tcPr>
          <w:p w:rsidR="00A03382" w:rsidRPr="00A03382" w:rsidRDefault="00A03382" w:rsidP="00A03382">
            <w:pPr>
              <w:rPr>
                <w:sz w:val="20"/>
                <w:szCs w:val="20"/>
              </w:rPr>
            </w:pPr>
            <w:r w:rsidRPr="00A03382">
              <w:rPr>
                <w:sz w:val="20"/>
                <w:szCs w:val="20"/>
              </w:rPr>
              <w:t>16,24,64</w:t>
            </w:r>
          </w:p>
        </w:tc>
        <w:tc>
          <w:tcPr>
            <w:tcW w:w="3133" w:type="dxa"/>
          </w:tcPr>
          <w:p w:rsidR="00A03382" w:rsidRPr="00A03382" w:rsidRDefault="00E01015" w:rsidP="00A03382">
            <w:pPr>
              <w:rPr>
                <w:color w:val="943634" w:themeColor="accent2" w:themeShade="BF"/>
                <w:sz w:val="20"/>
                <w:szCs w:val="20"/>
              </w:rPr>
            </w:pPr>
            <w:hyperlink r:id="rId14" w:history="1">
              <w:r w:rsidR="00A03382" w:rsidRPr="00A03382">
                <w:rPr>
                  <w:rStyle w:val="Hyperlink"/>
                  <w:sz w:val="20"/>
                  <w:szCs w:val="20"/>
                </w:rPr>
                <w:t>Natural Resources Wales (2014) Understanding the landfill directive</w:t>
              </w:r>
            </w:hyperlink>
            <w:r w:rsidR="00A03382" w:rsidRPr="00A03382">
              <w:rPr>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16,24</w:t>
            </w:r>
          </w:p>
        </w:tc>
        <w:tc>
          <w:tcPr>
            <w:tcW w:w="3133" w:type="dxa"/>
          </w:tcPr>
          <w:p w:rsidR="00A03382" w:rsidRPr="00A03382" w:rsidRDefault="00E01015" w:rsidP="00A03382">
            <w:pPr>
              <w:rPr>
                <w:color w:val="943634" w:themeColor="accent2" w:themeShade="BF"/>
                <w:sz w:val="20"/>
                <w:szCs w:val="20"/>
              </w:rPr>
            </w:pPr>
            <w:hyperlink r:id="rId15" w:history="1">
              <w:r w:rsidR="00A03382" w:rsidRPr="00A03382">
                <w:rPr>
                  <w:rStyle w:val="Hyperlink"/>
                  <w:sz w:val="20"/>
                  <w:szCs w:val="20"/>
                </w:rPr>
                <w:t>Council Directive 1999/31/EC</w:t>
              </w:r>
            </w:hyperlink>
          </w:p>
        </w:tc>
      </w:tr>
      <w:tr w:rsidR="00A03382" w:rsidRPr="00A03382" w:rsidTr="00A03382">
        <w:tc>
          <w:tcPr>
            <w:tcW w:w="1242" w:type="dxa"/>
          </w:tcPr>
          <w:p w:rsidR="00A03382" w:rsidRPr="00A03382" w:rsidRDefault="00A03382" w:rsidP="00A03382">
            <w:pPr>
              <w:rPr>
                <w:sz w:val="20"/>
                <w:szCs w:val="20"/>
              </w:rPr>
            </w:pPr>
            <w:r w:rsidRPr="00A03382">
              <w:rPr>
                <w:sz w:val="20"/>
                <w:szCs w:val="20"/>
              </w:rPr>
              <w:t>16</w:t>
            </w:r>
          </w:p>
        </w:tc>
        <w:tc>
          <w:tcPr>
            <w:tcW w:w="3133" w:type="dxa"/>
          </w:tcPr>
          <w:p w:rsidR="00A03382" w:rsidRPr="00A03382" w:rsidRDefault="00E01015" w:rsidP="00A03382">
            <w:pPr>
              <w:rPr>
                <w:color w:val="943634" w:themeColor="accent2" w:themeShade="BF"/>
                <w:sz w:val="20"/>
                <w:szCs w:val="20"/>
              </w:rPr>
            </w:pPr>
            <w:hyperlink r:id="rId16" w:history="1">
              <w:r w:rsidR="00A03382" w:rsidRPr="00A03382">
                <w:rPr>
                  <w:rStyle w:val="Hyperlink"/>
                  <w:sz w:val="20"/>
                  <w:szCs w:val="20"/>
                </w:rPr>
                <w:t>WAMITAB (2018) CIWM/WAMITAB Operator Competence Scheme</w:t>
              </w:r>
            </w:hyperlink>
            <w:r w:rsidR="00A03382" w:rsidRPr="00A03382">
              <w:rPr>
                <w:color w:val="7030A0"/>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19,22,48</w:t>
            </w:r>
          </w:p>
        </w:tc>
        <w:tc>
          <w:tcPr>
            <w:tcW w:w="3133" w:type="dxa"/>
          </w:tcPr>
          <w:p w:rsidR="00A03382" w:rsidRPr="00A03382" w:rsidRDefault="00E01015" w:rsidP="00A03382">
            <w:pPr>
              <w:rPr>
                <w:sz w:val="20"/>
                <w:szCs w:val="20"/>
              </w:rPr>
            </w:pPr>
            <w:hyperlink r:id="rId17" w:history="1">
              <w:r w:rsidR="00A03382" w:rsidRPr="00A03382">
                <w:rPr>
                  <w:rStyle w:val="Hyperlink"/>
                  <w:sz w:val="20"/>
                  <w:szCs w:val="20"/>
                </w:rPr>
                <w:t xml:space="preserve">Environment Agency (2014) Using </w:t>
              </w:r>
              <w:proofErr w:type="spellStart"/>
              <w:r w:rsidR="00A03382" w:rsidRPr="00A03382">
                <w:rPr>
                  <w:rStyle w:val="Hyperlink"/>
                  <w:sz w:val="20"/>
                  <w:szCs w:val="20"/>
                </w:rPr>
                <w:t>Geomembranes</w:t>
              </w:r>
              <w:proofErr w:type="spellEnd"/>
              <w:r w:rsidR="00A03382" w:rsidRPr="00A03382">
                <w:rPr>
                  <w:rStyle w:val="Hyperlink"/>
                  <w:sz w:val="20"/>
                  <w:szCs w:val="20"/>
                </w:rPr>
                <w:t xml:space="preserve"> in landfill engineering</w:t>
              </w:r>
            </w:hyperlink>
            <w:r w:rsidR="00A03382" w:rsidRPr="00A03382">
              <w:rPr>
                <w:color w:val="7030A0"/>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22,23,24,25</w:t>
            </w:r>
          </w:p>
        </w:tc>
        <w:tc>
          <w:tcPr>
            <w:tcW w:w="3133" w:type="dxa"/>
          </w:tcPr>
          <w:p w:rsidR="00A03382" w:rsidRPr="00A03382" w:rsidRDefault="00E01015" w:rsidP="00A03382">
            <w:pPr>
              <w:rPr>
                <w:sz w:val="20"/>
                <w:szCs w:val="20"/>
              </w:rPr>
            </w:pPr>
            <w:hyperlink r:id="rId18" w:history="1">
              <w:r w:rsidR="00A03382" w:rsidRPr="00A03382">
                <w:rPr>
                  <w:rStyle w:val="Hyperlink"/>
                  <w:sz w:val="20"/>
                  <w:szCs w:val="20"/>
                </w:rPr>
                <w:t>Environment Agency (2010) Waste acceptance at landfills</w:t>
              </w:r>
            </w:hyperlink>
            <w:r w:rsidR="00A03382" w:rsidRPr="00A03382">
              <w:rPr>
                <w:color w:val="7030A0"/>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23</w:t>
            </w:r>
          </w:p>
        </w:tc>
        <w:tc>
          <w:tcPr>
            <w:tcW w:w="3133" w:type="dxa"/>
          </w:tcPr>
          <w:p w:rsidR="00A03382" w:rsidRPr="00A03382" w:rsidRDefault="00E01015" w:rsidP="00A03382">
            <w:pPr>
              <w:rPr>
                <w:color w:val="943634" w:themeColor="accent2" w:themeShade="BF"/>
                <w:sz w:val="20"/>
                <w:szCs w:val="20"/>
              </w:rPr>
            </w:pPr>
            <w:hyperlink r:id="rId19" w:history="1">
              <w:r w:rsidR="00A03382" w:rsidRPr="00A03382">
                <w:rPr>
                  <w:rStyle w:val="Hyperlink"/>
                  <w:sz w:val="20"/>
                  <w:szCs w:val="20"/>
                </w:rPr>
                <w:t>Environment Agency (2011) Consignment notes – rejected consignments and movements by pipelines, ships, cross-border movements and carrier schedules</w:t>
              </w:r>
            </w:hyperlink>
            <w:r w:rsidR="00A03382" w:rsidRPr="00A03382">
              <w:rPr>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25,26</w:t>
            </w:r>
          </w:p>
        </w:tc>
        <w:tc>
          <w:tcPr>
            <w:tcW w:w="3133" w:type="dxa"/>
          </w:tcPr>
          <w:p w:rsidR="00A03382" w:rsidRPr="00A03382" w:rsidRDefault="00E01015" w:rsidP="00A03382">
            <w:pPr>
              <w:rPr>
                <w:sz w:val="20"/>
                <w:szCs w:val="20"/>
              </w:rPr>
            </w:pPr>
            <w:hyperlink r:id="rId20" w:history="1">
              <w:r w:rsidR="00A03382" w:rsidRPr="00A03382">
                <w:rPr>
                  <w:rStyle w:val="Hyperlink"/>
                  <w:sz w:val="20"/>
                  <w:szCs w:val="20"/>
                </w:rPr>
                <w:t>Environment Agency (2015) Waste Classification – Technical Guidance WM3</w:t>
              </w:r>
            </w:hyperlink>
            <w:r w:rsidR="00A03382" w:rsidRPr="00A03382">
              <w:rPr>
                <w:color w:val="7030A0"/>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23,26</w:t>
            </w:r>
          </w:p>
        </w:tc>
        <w:tc>
          <w:tcPr>
            <w:tcW w:w="3133" w:type="dxa"/>
          </w:tcPr>
          <w:p w:rsidR="00A03382" w:rsidRPr="00A03382" w:rsidRDefault="00E01015" w:rsidP="00A03382">
            <w:pPr>
              <w:rPr>
                <w:sz w:val="20"/>
                <w:szCs w:val="20"/>
              </w:rPr>
            </w:pPr>
            <w:hyperlink r:id="rId21" w:history="1">
              <w:r w:rsidR="00A03382" w:rsidRPr="00A03382">
                <w:rPr>
                  <w:rStyle w:val="Hyperlink"/>
                  <w:sz w:val="20"/>
                  <w:szCs w:val="20"/>
                </w:rPr>
                <w:t>Environment Agency (2014) Hazardous waste: consignment note guidance</w:t>
              </w:r>
            </w:hyperlink>
            <w:r w:rsidR="00A03382" w:rsidRPr="00A03382">
              <w:rPr>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23,26</w:t>
            </w:r>
          </w:p>
        </w:tc>
        <w:tc>
          <w:tcPr>
            <w:tcW w:w="3133" w:type="dxa"/>
          </w:tcPr>
          <w:p w:rsidR="00A03382" w:rsidRPr="00A03382" w:rsidRDefault="00E01015" w:rsidP="00A03382">
            <w:pPr>
              <w:rPr>
                <w:color w:val="943634" w:themeColor="accent2" w:themeShade="BF"/>
                <w:sz w:val="20"/>
                <w:szCs w:val="20"/>
              </w:rPr>
            </w:pPr>
            <w:hyperlink r:id="rId22" w:history="1">
              <w:r w:rsidR="00A03382" w:rsidRPr="00A03382">
                <w:rPr>
                  <w:rStyle w:val="Hyperlink"/>
                  <w:sz w:val="20"/>
                  <w:szCs w:val="20"/>
                </w:rPr>
                <w:t>The Hazardous Waste (Wales) Regulations 2005</w:t>
              </w:r>
            </w:hyperlink>
            <w:r w:rsidR="00A03382" w:rsidRPr="00A03382">
              <w:rPr>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29,30,31,67</w:t>
            </w:r>
          </w:p>
        </w:tc>
        <w:tc>
          <w:tcPr>
            <w:tcW w:w="3133" w:type="dxa"/>
          </w:tcPr>
          <w:p w:rsidR="00A03382" w:rsidRPr="00A03382" w:rsidRDefault="00E01015" w:rsidP="00A03382">
            <w:pPr>
              <w:rPr>
                <w:sz w:val="20"/>
                <w:szCs w:val="20"/>
              </w:rPr>
            </w:pPr>
            <w:hyperlink r:id="rId23" w:history="1">
              <w:r w:rsidR="00A03382" w:rsidRPr="00A03382">
                <w:rPr>
                  <w:rStyle w:val="Hyperlink"/>
                  <w:sz w:val="20"/>
                  <w:szCs w:val="20"/>
                </w:rPr>
                <w:t>Environment Agency (2014) Guidance on the management of landfill gas</w:t>
              </w:r>
            </w:hyperlink>
            <w:r w:rsidR="00A03382" w:rsidRPr="00A03382">
              <w:rPr>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30,56,57,</w:t>
            </w:r>
          </w:p>
        </w:tc>
        <w:tc>
          <w:tcPr>
            <w:tcW w:w="3133" w:type="dxa"/>
          </w:tcPr>
          <w:p w:rsidR="00A03382" w:rsidRPr="00A03382" w:rsidRDefault="00E01015" w:rsidP="00A03382">
            <w:pPr>
              <w:rPr>
                <w:sz w:val="20"/>
                <w:szCs w:val="20"/>
              </w:rPr>
            </w:pPr>
            <w:hyperlink r:id="rId24" w:history="1">
              <w:r w:rsidR="00A03382" w:rsidRPr="00A03382">
                <w:rPr>
                  <w:rStyle w:val="Hyperlink"/>
                  <w:sz w:val="20"/>
                  <w:szCs w:val="20"/>
                </w:rPr>
                <w:t>Environment Agency (2010) Guidance for monitoring trace components in landfill gas</w:t>
              </w:r>
            </w:hyperlink>
            <w:r w:rsidR="00A03382" w:rsidRPr="00A03382">
              <w:rPr>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32</w:t>
            </w:r>
          </w:p>
        </w:tc>
        <w:tc>
          <w:tcPr>
            <w:tcW w:w="3133" w:type="dxa"/>
          </w:tcPr>
          <w:p w:rsidR="00A03382" w:rsidRPr="00A03382" w:rsidRDefault="00E01015" w:rsidP="00A03382">
            <w:pPr>
              <w:rPr>
                <w:sz w:val="20"/>
                <w:szCs w:val="20"/>
              </w:rPr>
            </w:pPr>
            <w:hyperlink r:id="rId25" w:history="1">
              <w:r w:rsidR="00A03382" w:rsidRPr="00A03382">
                <w:rPr>
                  <w:rStyle w:val="Hyperlink"/>
                  <w:sz w:val="20"/>
                  <w:szCs w:val="20"/>
                </w:rPr>
                <w:t>Environmental Services Association (2012) Landfill gas</w:t>
              </w:r>
            </w:hyperlink>
          </w:p>
        </w:tc>
      </w:tr>
      <w:tr w:rsidR="00A03382" w:rsidRPr="00A03382" w:rsidTr="00A03382">
        <w:tc>
          <w:tcPr>
            <w:tcW w:w="1242" w:type="dxa"/>
          </w:tcPr>
          <w:p w:rsidR="00A03382" w:rsidRPr="00A03382" w:rsidRDefault="00A03382" w:rsidP="00A03382">
            <w:pPr>
              <w:rPr>
                <w:sz w:val="20"/>
                <w:szCs w:val="20"/>
              </w:rPr>
            </w:pPr>
            <w:r w:rsidRPr="00A03382">
              <w:rPr>
                <w:sz w:val="20"/>
                <w:szCs w:val="20"/>
              </w:rPr>
              <w:t>35,37</w:t>
            </w:r>
          </w:p>
        </w:tc>
        <w:tc>
          <w:tcPr>
            <w:tcW w:w="3133" w:type="dxa"/>
          </w:tcPr>
          <w:p w:rsidR="00A03382" w:rsidRPr="00A03382" w:rsidRDefault="00E01015" w:rsidP="00A03382">
            <w:pPr>
              <w:rPr>
                <w:sz w:val="20"/>
                <w:szCs w:val="20"/>
              </w:rPr>
            </w:pPr>
            <w:hyperlink r:id="rId26" w:history="1">
              <w:r w:rsidR="00A03382" w:rsidRPr="00A03382">
                <w:rPr>
                  <w:rStyle w:val="Hyperlink"/>
                  <w:sz w:val="20"/>
                  <w:szCs w:val="20"/>
                </w:rPr>
                <w:t>Environment Agency (2014) Guidance for the treatment of landfill leachate</w:t>
              </w:r>
            </w:hyperlink>
            <w:r w:rsidR="00A03382" w:rsidRPr="00A03382">
              <w:rPr>
                <w:color w:val="7030A0"/>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36</w:t>
            </w:r>
          </w:p>
        </w:tc>
        <w:tc>
          <w:tcPr>
            <w:tcW w:w="3133" w:type="dxa"/>
          </w:tcPr>
          <w:p w:rsidR="00A03382" w:rsidRPr="00A03382" w:rsidRDefault="00E01015" w:rsidP="00A03382">
            <w:pPr>
              <w:rPr>
                <w:sz w:val="20"/>
                <w:szCs w:val="20"/>
              </w:rPr>
            </w:pPr>
            <w:hyperlink r:id="rId27" w:history="1">
              <w:r w:rsidR="00A03382" w:rsidRPr="00A03382">
                <w:rPr>
                  <w:rStyle w:val="Hyperlink"/>
                  <w:sz w:val="20"/>
                  <w:szCs w:val="20"/>
                </w:rPr>
                <w:t>Environment Agency (2010) Monitoring frequencies and non-compliance recording</w:t>
              </w:r>
            </w:hyperlink>
          </w:p>
        </w:tc>
      </w:tr>
      <w:tr w:rsidR="00A03382" w:rsidRPr="00A03382" w:rsidTr="00571170">
        <w:tc>
          <w:tcPr>
            <w:tcW w:w="1242" w:type="dxa"/>
            <w:tcBorders>
              <w:bottom w:val="nil"/>
            </w:tcBorders>
          </w:tcPr>
          <w:p w:rsidR="00A03382" w:rsidRPr="00A03382" w:rsidRDefault="00A03382" w:rsidP="00A03382">
            <w:pPr>
              <w:rPr>
                <w:sz w:val="20"/>
                <w:szCs w:val="20"/>
              </w:rPr>
            </w:pPr>
            <w:r w:rsidRPr="00A03382">
              <w:rPr>
                <w:sz w:val="20"/>
                <w:szCs w:val="20"/>
              </w:rPr>
              <w:t>36,37</w:t>
            </w:r>
          </w:p>
        </w:tc>
        <w:tc>
          <w:tcPr>
            <w:tcW w:w="3133" w:type="dxa"/>
            <w:tcBorders>
              <w:bottom w:val="nil"/>
            </w:tcBorders>
          </w:tcPr>
          <w:p w:rsidR="00A03382" w:rsidRPr="00A03382" w:rsidRDefault="00E01015" w:rsidP="00A03382">
            <w:pPr>
              <w:rPr>
                <w:sz w:val="20"/>
                <w:szCs w:val="20"/>
              </w:rPr>
            </w:pPr>
            <w:hyperlink r:id="rId28" w:history="1">
              <w:r w:rsidR="00A03382" w:rsidRPr="00A03382">
                <w:rPr>
                  <w:rStyle w:val="Hyperlink"/>
                  <w:sz w:val="20"/>
                  <w:szCs w:val="20"/>
                </w:rPr>
                <w:t>Environment Agency (2014) Guidance on monitoring of landfill leachate, groundwater and surface water</w:t>
              </w:r>
            </w:hyperlink>
            <w:r w:rsidR="00A03382" w:rsidRPr="00A03382">
              <w:rPr>
                <w:sz w:val="20"/>
                <w:szCs w:val="20"/>
              </w:rPr>
              <w:t xml:space="preserve"> </w:t>
            </w:r>
          </w:p>
        </w:tc>
      </w:tr>
      <w:tr w:rsidR="00571170" w:rsidRPr="00A03382" w:rsidTr="00571170">
        <w:tc>
          <w:tcPr>
            <w:tcW w:w="1242" w:type="dxa"/>
            <w:tcBorders>
              <w:top w:val="nil"/>
              <w:left w:val="nil"/>
              <w:bottom w:val="nil"/>
              <w:right w:val="nil"/>
            </w:tcBorders>
          </w:tcPr>
          <w:p w:rsidR="00571170" w:rsidRPr="00A03382" w:rsidRDefault="00571170" w:rsidP="00A03382">
            <w:pPr>
              <w:rPr>
                <w:sz w:val="20"/>
                <w:szCs w:val="20"/>
              </w:rPr>
            </w:pPr>
          </w:p>
        </w:tc>
        <w:tc>
          <w:tcPr>
            <w:tcW w:w="3133" w:type="dxa"/>
            <w:tcBorders>
              <w:top w:val="nil"/>
              <w:left w:val="nil"/>
              <w:bottom w:val="nil"/>
              <w:right w:val="nil"/>
            </w:tcBorders>
          </w:tcPr>
          <w:p w:rsidR="00571170" w:rsidRPr="00A03382" w:rsidRDefault="00571170" w:rsidP="00A03382">
            <w:pPr>
              <w:rPr>
                <w:color w:val="7030A0"/>
                <w:sz w:val="20"/>
                <w:szCs w:val="20"/>
              </w:rPr>
            </w:pPr>
          </w:p>
        </w:tc>
      </w:tr>
      <w:tr w:rsidR="00571170" w:rsidRPr="00A03382" w:rsidTr="00571170">
        <w:tc>
          <w:tcPr>
            <w:tcW w:w="1242" w:type="dxa"/>
            <w:tcBorders>
              <w:top w:val="nil"/>
              <w:left w:val="nil"/>
              <w:bottom w:val="nil"/>
              <w:right w:val="nil"/>
            </w:tcBorders>
          </w:tcPr>
          <w:p w:rsidR="00571170" w:rsidRPr="00A03382" w:rsidRDefault="00571170" w:rsidP="00A03382">
            <w:pPr>
              <w:rPr>
                <w:sz w:val="20"/>
                <w:szCs w:val="20"/>
              </w:rPr>
            </w:pPr>
          </w:p>
        </w:tc>
        <w:tc>
          <w:tcPr>
            <w:tcW w:w="3133" w:type="dxa"/>
            <w:tcBorders>
              <w:top w:val="nil"/>
              <w:left w:val="nil"/>
              <w:bottom w:val="nil"/>
              <w:right w:val="nil"/>
            </w:tcBorders>
          </w:tcPr>
          <w:p w:rsidR="00571170" w:rsidRPr="00571170" w:rsidRDefault="00571170" w:rsidP="00A03382">
            <w:pPr>
              <w:rPr>
                <w:color w:val="7030A0"/>
                <w:sz w:val="32"/>
                <w:szCs w:val="20"/>
              </w:rPr>
            </w:pPr>
          </w:p>
        </w:tc>
      </w:tr>
      <w:tr w:rsidR="00571170" w:rsidRPr="00A03382" w:rsidTr="00571170">
        <w:tc>
          <w:tcPr>
            <w:tcW w:w="1242" w:type="dxa"/>
            <w:tcBorders>
              <w:top w:val="nil"/>
              <w:left w:val="nil"/>
              <w:bottom w:val="single" w:sz="4" w:space="0" w:color="auto"/>
              <w:right w:val="nil"/>
            </w:tcBorders>
          </w:tcPr>
          <w:p w:rsidR="00571170" w:rsidRPr="00A03382" w:rsidRDefault="00571170" w:rsidP="00A03382">
            <w:pPr>
              <w:rPr>
                <w:sz w:val="20"/>
                <w:szCs w:val="20"/>
              </w:rPr>
            </w:pPr>
          </w:p>
        </w:tc>
        <w:tc>
          <w:tcPr>
            <w:tcW w:w="3133" w:type="dxa"/>
            <w:tcBorders>
              <w:top w:val="nil"/>
              <w:left w:val="nil"/>
              <w:bottom w:val="single" w:sz="4" w:space="0" w:color="auto"/>
              <w:right w:val="nil"/>
            </w:tcBorders>
          </w:tcPr>
          <w:p w:rsidR="00571170" w:rsidRPr="00A03382" w:rsidRDefault="00571170" w:rsidP="00A03382">
            <w:pPr>
              <w:rPr>
                <w:color w:val="7030A0"/>
                <w:sz w:val="20"/>
                <w:szCs w:val="20"/>
              </w:rPr>
            </w:pPr>
          </w:p>
        </w:tc>
      </w:tr>
      <w:tr w:rsidR="00A03382" w:rsidRPr="00A03382" w:rsidTr="00571170">
        <w:tc>
          <w:tcPr>
            <w:tcW w:w="1242" w:type="dxa"/>
            <w:tcBorders>
              <w:top w:val="single" w:sz="4" w:space="0" w:color="auto"/>
            </w:tcBorders>
          </w:tcPr>
          <w:p w:rsidR="00A03382" w:rsidRPr="00A03382" w:rsidRDefault="00A03382" w:rsidP="00A03382">
            <w:pPr>
              <w:rPr>
                <w:sz w:val="20"/>
                <w:szCs w:val="20"/>
              </w:rPr>
            </w:pPr>
            <w:r w:rsidRPr="00A03382">
              <w:rPr>
                <w:sz w:val="20"/>
                <w:szCs w:val="20"/>
              </w:rPr>
              <w:t>39</w:t>
            </w:r>
          </w:p>
        </w:tc>
        <w:tc>
          <w:tcPr>
            <w:tcW w:w="3133" w:type="dxa"/>
            <w:tcBorders>
              <w:top w:val="single" w:sz="4" w:space="0" w:color="auto"/>
            </w:tcBorders>
          </w:tcPr>
          <w:p w:rsidR="00A03382" w:rsidRPr="00A03382" w:rsidRDefault="00E01015" w:rsidP="00A03382">
            <w:pPr>
              <w:rPr>
                <w:color w:val="943634" w:themeColor="accent2" w:themeShade="BF"/>
                <w:sz w:val="20"/>
                <w:szCs w:val="20"/>
              </w:rPr>
            </w:pPr>
            <w:hyperlink r:id="rId29" w:history="1">
              <w:r w:rsidR="00A03382" w:rsidRPr="00A03382">
                <w:rPr>
                  <w:rStyle w:val="Hyperlink"/>
                  <w:sz w:val="20"/>
                  <w:szCs w:val="20"/>
                </w:rPr>
                <w:t>Environment Agency (2014) Hydrogeological risk assessment report template</w:t>
              </w:r>
            </w:hyperlink>
            <w:r w:rsidR="00A03382" w:rsidRPr="00A03382">
              <w:rPr>
                <w:color w:val="7030A0"/>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43</w:t>
            </w:r>
          </w:p>
        </w:tc>
        <w:tc>
          <w:tcPr>
            <w:tcW w:w="3133" w:type="dxa"/>
          </w:tcPr>
          <w:p w:rsidR="00A03382" w:rsidRPr="00A03382" w:rsidRDefault="00E01015" w:rsidP="00A03382">
            <w:pPr>
              <w:rPr>
                <w:sz w:val="20"/>
                <w:szCs w:val="20"/>
              </w:rPr>
            </w:pPr>
            <w:hyperlink r:id="rId30" w:history="1">
              <w:r w:rsidR="00A03382" w:rsidRPr="00A03382">
                <w:rPr>
                  <w:rStyle w:val="Hyperlink"/>
                  <w:sz w:val="20"/>
                  <w:szCs w:val="20"/>
                </w:rPr>
                <w:t>Review and investigation of deep seated fires within landfill sites</w:t>
              </w:r>
            </w:hyperlink>
            <w:r w:rsidR="00A03382" w:rsidRPr="00A03382">
              <w:rPr>
                <w:color w:val="7030A0"/>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49</w:t>
            </w:r>
          </w:p>
        </w:tc>
        <w:tc>
          <w:tcPr>
            <w:tcW w:w="3133" w:type="dxa"/>
          </w:tcPr>
          <w:p w:rsidR="00A03382" w:rsidRPr="00A03382" w:rsidRDefault="00E01015" w:rsidP="00A03382">
            <w:pPr>
              <w:rPr>
                <w:sz w:val="20"/>
                <w:szCs w:val="20"/>
              </w:rPr>
            </w:pPr>
            <w:hyperlink r:id="rId31" w:history="1">
              <w:r w:rsidR="00A03382" w:rsidRPr="00A03382">
                <w:rPr>
                  <w:rStyle w:val="Hyperlink"/>
                  <w:sz w:val="20"/>
                  <w:szCs w:val="20"/>
                </w:rPr>
                <w:t>Health and Safety (2013) Workplace transport safety</w:t>
              </w:r>
            </w:hyperlink>
          </w:p>
        </w:tc>
      </w:tr>
      <w:tr w:rsidR="00A03382" w:rsidRPr="00A03382" w:rsidTr="00A03382">
        <w:tc>
          <w:tcPr>
            <w:tcW w:w="1242" w:type="dxa"/>
          </w:tcPr>
          <w:p w:rsidR="00A03382" w:rsidRPr="00A03382" w:rsidRDefault="00A03382" w:rsidP="00A03382">
            <w:pPr>
              <w:rPr>
                <w:sz w:val="20"/>
                <w:szCs w:val="20"/>
              </w:rPr>
            </w:pPr>
            <w:r w:rsidRPr="00A03382">
              <w:rPr>
                <w:sz w:val="20"/>
                <w:szCs w:val="20"/>
              </w:rPr>
              <w:t>50</w:t>
            </w:r>
          </w:p>
        </w:tc>
        <w:tc>
          <w:tcPr>
            <w:tcW w:w="3133" w:type="dxa"/>
          </w:tcPr>
          <w:p w:rsidR="00A03382" w:rsidRPr="00A03382" w:rsidRDefault="00E01015" w:rsidP="00A03382">
            <w:pPr>
              <w:rPr>
                <w:sz w:val="20"/>
                <w:szCs w:val="20"/>
              </w:rPr>
            </w:pPr>
            <w:hyperlink r:id="rId32" w:history="1">
              <w:r w:rsidR="00A03382" w:rsidRPr="00A03382">
                <w:rPr>
                  <w:rStyle w:val="Hyperlink"/>
                  <w:sz w:val="20"/>
                  <w:szCs w:val="20"/>
                </w:rPr>
                <w:t>Environment Agency (2014) Guidance on using landfill cover materials</w:t>
              </w:r>
            </w:hyperlink>
            <w:r w:rsidR="00A03382" w:rsidRPr="00A03382">
              <w:rPr>
                <w:color w:val="7030A0"/>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60</w:t>
            </w:r>
          </w:p>
        </w:tc>
        <w:tc>
          <w:tcPr>
            <w:tcW w:w="3133" w:type="dxa"/>
          </w:tcPr>
          <w:p w:rsidR="00A03382" w:rsidRPr="00A03382" w:rsidRDefault="00E01015" w:rsidP="00A03382">
            <w:pPr>
              <w:rPr>
                <w:color w:val="943634" w:themeColor="accent2" w:themeShade="BF"/>
                <w:sz w:val="20"/>
                <w:szCs w:val="20"/>
              </w:rPr>
            </w:pPr>
            <w:hyperlink r:id="rId33" w:history="1">
              <w:r w:rsidR="00A03382" w:rsidRPr="00A03382">
                <w:rPr>
                  <w:rStyle w:val="Hyperlink"/>
                  <w:sz w:val="20"/>
                  <w:szCs w:val="20"/>
                </w:rPr>
                <w:t>GOV.UK (2019) Hazardous Waste</w:t>
              </w:r>
            </w:hyperlink>
            <w:r w:rsidR="00A03382" w:rsidRPr="00A03382">
              <w:rPr>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60</w:t>
            </w:r>
          </w:p>
        </w:tc>
        <w:tc>
          <w:tcPr>
            <w:tcW w:w="3133" w:type="dxa"/>
          </w:tcPr>
          <w:p w:rsidR="00A03382" w:rsidRPr="00A03382" w:rsidRDefault="00E01015" w:rsidP="00A03382">
            <w:pPr>
              <w:rPr>
                <w:color w:val="943634" w:themeColor="accent2" w:themeShade="BF"/>
                <w:sz w:val="20"/>
                <w:szCs w:val="20"/>
              </w:rPr>
            </w:pPr>
            <w:hyperlink r:id="rId34" w:history="1">
              <w:r w:rsidR="00A03382" w:rsidRPr="00A03382">
                <w:rPr>
                  <w:rStyle w:val="Hyperlink"/>
                  <w:sz w:val="20"/>
                  <w:szCs w:val="20"/>
                </w:rPr>
                <w:t>Environment Agency (2019) Develop a management system: environmental permits</w:t>
              </w:r>
            </w:hyperlink>
            <w:r w:rsidR="00A03382" w:rsidRPr="00A03382">
              <w:rPr>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60</w:t>
            </w:r>
          </w:p>
        </w:tc>
        <w:tc>
          <w:tcPr>
            <w:tcW w:w="3133" w:type="dxa"/>
          </w:tcPr>
          <w:p w:rsidR="00A03382" w:rsidRPr="00A03382" w:rsidRDefault="00E01015" w:rsidP="00A03382">
            <w:pPr>
              <w:rPr>
                <w:color w:val="943634" w:themeColor="accent2" w:themeShade="BF"/>
                <w:sz w:val="20"/>
                <w:szCs w:val="20"/>
              </w:rPr>
            </w:pPr>
            <w:hyperlink r:id="rId35" w:history="1">
              <w:r w:rsidR="00A03382" w:rsidRPr="00A03382">
                <w:rPr>
                  <w:rStyle w:val="Hyperlink"/>
                  <w:sz w:val="20"/>
                  <w:szCs w:val="20"/>
                </w:rPr>
                <w:t>Natural Resources Wales (2019) Hazardous waste returns</w:t>
              </w:r>
            </w:hyperlink>
            <w:r w:rsidR="00A03382" w:rsidRPr="00A03382">
              <w:rPr>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63,64</w:t>
            </w:r>
          </w:p>
        </w:tc>
        <w:tc>
          <w:tcPr>
            <w:tcW w:w="3133" w:type="dxa"/>
          </w:tcPr>
          <w:p w:rsidR="00A03382" w:rsidRPr="00A03382" w:rsidRDefault="00E01015" w:rsidP="00A03382">
            <w:pPr>
              <w:rPr>
                <w:sz w:val="20"/>
                <w:szCs w:val="20"/>
              </w:rPr>
            </w:pPr>
            <w:hyperlink r:id="rId36" w:history="1">
              <w:r w:rsidR="00A03382" w:rsidRPr="00A03382">
                <w:rPr>
                  <w:rStyle w:val="Hyperlink"/>
                  <w:sz w:val="20"/>
                  <w:szCs w:val="20"/>
                </w:rPr>
                <w:t>Environment Agency (2012) Landfill: How to surrender your permit</w:t>
              </w:r>
            </w:hyperlink>
            <w:r w:rsidR="00A03382" w:rsidRPr="00A03382">
              <w:rPr>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63,64</w:t>
            </w:r>
          </w:p>
        </w:tc>
        <w:tc>
          <w:tcPr>
            <w:tcW w:w="3133" w:type="dxa"/>
          </w:tcPr>
          <w:p w:rsidR="00A03382" w:rsidRPr="00A03382" w:rsidRDefault="00E01015" w:rsidP="00A03382">
            <w:pPr>
              <w:rPr>
                <w:sz w:val="20"/>
                <w:szCs w:val="20"/>
              </w:rPr>
            </w:pPr>
            <w:hyperlink r:id="rId37" w:history="1">
              <w:r w:rsidR="00A03382" w:rsidRPr="00A03382">
                <w:rPr>
                  <w:rStyle w:val="Hyperlink"/>
                  <w:sz w:val="20"/>
                  <w:szCs w:val="20"/>
                </w:rPr>
                <w:t>Natural Resources Wales (2014) Landfill: How to surrender your environment permit</w:t>
              </w:r>
            </w:hyperlink>
            <w:r w:rsidR="00A03382" w:rsidRPr="00A03382">
              <w:rPr>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64</w:t>
            </w:r>
          </w:p>
        </w:tc>
        <w:tc>
          <w:tcPr>
            <w:tcW w:w="3133" w:type="dxa"/>
          </w:tcPr>
          <w:p w:rsidR="00A03382" w:rsidRPr="00A03382" w:rsidRDefault="00E01015" w:rsidP="00A03382">
            <w:pPr>
              <w:rPr>
                <w:sz w:val="20"/>
                <w:szCs w:val="20"/>
              </w:rPr>
            </w:pPr>
            <w:hyperlink r:id="rId38" w:history="1">
              <w:r w:rsidR="00A03382" w:rsidRPr="00A03382">
                <w:rPr>
                  <w:rStyle w:val="Hyperlink"/>
                  <w:sz w:val="20"/>
                  <w:szCs w:val="20"/>
                </w:rPr>
                <w:t>Environment Agency (2011) Understanding the landfill directive</w:t>
              </w:r>
            </w:hyperlink>
            <w:r w:rsidR="00A03382" w:rsidRPr="00A03382">
              <w:rPr>
                <w:color w:val="7030A0"/>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67</w:t>
            </w:r>
          </w:p>
        </w:tc>
        <w:tc>
          <w:tcPr>
            <w:tcW w:w="3133" w:type="dxa"/>
          </w:tcPr>
          <w:p w:rsidR="00A03382" w:rsidRPr="00A03382" w:rsidRDefault="00E01015" w:rsidP="00A03382">
            <w:pPr>
              <w:rPr>
                <w:sz w:val="20"/>
                <w:szCs w:val="20"/>
              </w:rPr>
            </w:pPr>
            <w:hyperlink r:id="rId39" w:history="1">
              <w:r w:rsidR="00A03382" w:rsidRPr="00A03382">
                <w:rPr>
                  <w:rStyle w:val="Hyperlink"/>
                  <w:sz w:val="20"/>
                  <w:szCs w:val="20"/>
                </w:rPr>
                <w:t>HSE (2019) The Dangerous Substances and Explosive Atmospheres Regulations</w:t>
              </w:r>
            </w:hyperlink>
          </w:p>
        </w:tc>
      </w:tr>
      <w:tr w:rsidR="00A03382" w:rsidRPr="00A03382" w:rsidTr="00A03382">
        <w:tc>
          <w:tcPr>
            <w:tcW w:w="1242" w:type="dxa"/>
          </w:tcPr>
          <w:p w:rsidR="00A03382" w:rsidRPr="00A03382" w:rsidRDefault="00A03382" w:rsidP="00A03382">
            <w:pPr>
              <w:rPr>
                <w:sz w:val="20"/>
                <w:szCs w:val="20"/>
              </w:rPr>
            </w:pPr>
            <w:r w:rsidRPr="00A03382">
              <w:rPr>
                <w:sz w:val="20"/>
                <w:szCs w:val="20"/>
              </w:rPr>
              <w:t>67,68,69,70</w:t>
            </w:r>
          </w:p>
        </w:tc>
        <w:tc>
          <w:tcPr>
            <w:tcW w:w="3133" w:type="dxa"/>
          </w:tcPr>
          <w:p w:rsidR="00A03382" w:rsidRPr="00A03382" w:rsidRDefault="00E01015" w:rsidP="00A03382">
            <w:pPr>
              <w:rPr>
                <w:color w:val="943634" w:themeColor="accent2" w:themeShade="BF"/>
                <w:sz w:val="20"/>
                <w:szCs w:val="20"/>
              </w:rPr>
            </w:pPr>
            <w:hyperlink r:id="rId40" w:history="1">
              <w:r w:rsidR="00A03382" w:rsidRPr="00A03382">
                <w:rPr>
                  <w:rStyle w:val="Hyperlink"/>
                  <w:sz w:val="20"/>
                  <w:szCs w:val="20"/>
                </w:rPr>
                <w:t>HSE (2019) Landfill fires – controlling the risk</w:t>
              </w:r>
            </w:hyperlink>
          </w:p>
        </w:tc>
      </w:tr>
      <w:tr w:rsidR="00A03382" w:rsidRPr="00A03382" w:rsidTr="00A03382">
        <w:tc>
          <w:tcPr>
            <w:tcW w:w="1242" w:type="dxa"/>
          </w:tcPr>
          <w:p w:rsidR="00A03382" w:rsidRPr="00A03382" w:rsidRDefault="00A03382" w:rsidP="00A03382">
            <w:pPr>
              <w:rPr>
                <w:sz w:val="20"/>
                <w:szCs w:val="20"/>
              </w:rPr>
            </w:pPr>
            <w:r w:rsidRPr="00A03382">
              <w:rPr>
                <w:sz w:val="20"/>
                <w:szCs w:val="20"/>
              </w:rPr>
              <w:t>68,69</w:t>
            </w:r>
          </w:p>
        </w:tc>
        <w:tc>
          <w:tcPr>
            <w:tcW w:w="3133" w:type="dxa"/>
          </w:tcPr>
          <w:p w:rsidR="00A03382" w:rsidRPr="00A03382" w:rsidRDefault="00E01015" w:rsidP="00A03382">
            <w:pPr>
              <w:rPr>
                <w:sz w:val="20"/>
                <w:szCs w:val="20"/>
              </w:rPr>
            </w:pPr>
            <w:hyperlink r:id="rId41" w:history="1">
              <w:r w:rsidR="00A03382" w:rsidRPr="00A03382">
                <w:rPr>
                  <w:rStyle w:val="Hyperlink"/>
                  <w:sz w:val="20"/>
                  <w:szCs w:val="20"/>
                </w:rPr>
                <w:t>ESA (2007) Waste Management Industry Landfill Operations Involving Potentially Explosive Atmospheres</w:t>
              </w:r>
            </w:hyperlink>
            <w:r w:rsidR="00A03382" w:rsidRPr="00A03382">
              <w:rPr>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70</w:t>
            </w:r>
          </w:p>
        </w:tc>
        <w:tc>
          <w:tcPr>
            <w:tcW w:w="3133" w:type="dxa"/>
          </w:tcPr>
          <w:p w:rsidR="00A03382" w:rsidRPr="00A03382" w:rsidRDefault="00E01015" w:rsidP="00A03382">
            <w:pPr>
              <w:rPr>
                <w:sz w:val="20"/>
                <w:szCs w:val="20"/>
              </w:rPr>
            </w:pPr>
            <w:hyperlink r:id="rId42" w:history="1">
              <w:r w:rsidR="00A03382" w:rsidRPr="00A03382">
                <w:rPr>
                  <w:rStyle w:val="Hyperlink"/>
                  <w:sz w:val="20"/>
                  <w:szCs w:val="20"/>
                </w:rPr>
                <w:t>ESA (2005) DSEAR Implementation for the waste management industry</w:t>
              </w:r>
            </w:hyperlink>
            <w:r w:rsidR="00A03382" w:rsidRPr="00A03382">
              <w:rPr>
                <w:sz w:val="20"/>
                <w:szCs w:val="20"/>
              </w:rPr>
              <w:t xml:space="preserve"> </w:t>
            </w:r>
          </w:p>
        </w:tc>
      </w:tr>
      <w:tr w:rsidR="00A03382" w:rsidRPr="00A03382" w:rsidTr="00A03382">
        <w:tc>
          <w:tcPr>
            <w:tcW w:w="1242" w:type="dxa"/>
          </w:tcPr>
          <w:p w:rsidR="00A03382" w:rsidRPr="00A03382" w:rsidRDefault="00A03382" w:rsidP="00A03382">
            <w:pPr>
              <w:rPr>
                <w:sz w:val="20"/>
                <w:szCs w:val="20"/>
              </w:rPr>
            </w:pPr>
            <w:r w:rsidRPr="00A03382">
              <w:rPr>
                <w:sz w:val="20"/>
                <w:szCs w:val="20"/>
              </w:rPr>
              <w:t>70</w:t>
            </w:r>
          </w:p>
        </w:tc>
        <w:tc>
          <w:tcPr>
            <w:tcW w:w="3133" w:type="dxa"/>
          </w:tcPr>
          <w:p w:rsidR="00A03382" w:rsidRPr="00A03382" w:rsidRDefault="00E01015" w:rsidP="00A03382">
            <w:pPr>
              <w:rPr>
                <w:sz w:val="20"/>
                <w:szCs w:val="20"/>
              </w:rPr>
            </w:pPr>
            <w:hyperlink r:id="rId43" w:history="1">
              <w:r w:rsidR="00A03382" w:rsidRPr="00A03382">
                <w:rPr>
                  <w:rStyle w:val="Hyperlink"/>
                  <w:sz w:val="20"/>
                  <w:szCs w:val="20"/>
                </w:rPr>
                <w:t>Health and Safety Executive (2016) Controlling vibration risks</w:t>
              </w:r>
            </w:hyperlink>
            <w:r w:rsidR="00A03382" w:rsidRPr="00A03382">
              <w:rPr>
                <w:sz w:val="20"/>
                <w:szCs w:val="20"/>
              </w:rPr>
              <w:t xml:space="preserve"> </w:t>
            </w:r>
          </w:p>
        </w:tc>
      </w:tr>
    </w:tbl>
    <w:p w:rsidR="00A674E5" w:rsidRDefault="00C02BF3" w:rsidP="00C02BF3">
      <w:pPr>
        <w:spacing w:before="240"/>
        <w:rPr>
          <w:i/>
        </w:rPr>
      </w:pPr>
      <w:r w:rsidRPr="00C02BF3">
        <w:rPr>
          <w:b/>
          <w:i/>
        </w:rPr>
        <w:t>Please note:</w:t>
      </w:r>
      <w:r w:rsidRPr="00C02BF3">
        <w:rPr>
          <w:i/>
        </w:rPr>
        <w:t xml:space="preserve"> this information was correct at the time of publishing. If you find these links are broken, type the document title into a search engine</w:t>
      </w:r>
      <w:r>
        <w:rPr>
          <w:i/>
        </w:rPr>
        <w:t>.</w:t>
      </w:r>
    </w:p>
    <w:p w:rsidR="00A03382" w:rsidRDefault="00A03382" w:rsidP="00A6136C">
      <w:pPr>
        <w:spacing w:before="240" w:after="0"/>
        <w:rPr>
          <w:i/>
        </w:rPr>
        <w:sectPr w:rsidR="00A03382" w:rsidSect="00A674E5">
          <w:pgSz w:w="11906" w:h="16838"/>
          <w:pgMar w:top="1440" w:right="1440" w:bottom="1440" w:left="1440" w:header="708" w:footer="708" w:gutter="0"/>
          <w:cols w:num="2" w:space="708"/>
          <w:docGrid w:linePitch="360"/>
        </w:sectPr>
      </w:pPr>
    </w:p>
    <w:p w:rsidR="00A6136C" w:rsidRDefault="00A6136C" w:rsidP="00A6136C">
      <w:pPr>
        <w:spacing w:before="240" w:after="0"/>
        <w:rPr>
          <w:i/>
        </w:rPr>
      </w:pPr>
    </w:p>
    <w:tbl>
      <w:tblPr>
        <w:tblStyle w:val="TableGrid"/>
        <w:tblW w:w="0" w:type="auto"/>
        <w:tblLook w:val="04A0" w:firstRow="1" w:lastRow="0" w:firstColumn="1" w:lastColumn="0" w:noHBand="0" w:noVBand="1"/>
      </w:tblPr>
      <w:tblGrid>
        <w:gridCol w:w="4375"/>
      </w:tblGrid>
      <w:tr w:rsidR="00A6136C" w:rsidTr="00A6136C">
        <w:tc>
          <w:tcPr>
            <w:tcW w:w="4375" w:type="dxa"/>
            <w:tcBorders>
              <w:top w:val="single" w:sz="4" w:space="0" w:color="7030A0"/>
              <w:left w:val="single" w:sz="4" w:space="0" w:color="7030A0"/>
              <w:bottom w:val="single" w:sz="4" w:space="0" w:color="7030A0"/>
              <w:right w:val="single" w:sz="4" w:space="0" w:color="7030A0"/>
            </w:tcBorders>
            <w:shd w:val="clear" w:color="auto" w:fill="E5DFEC" w:themeFill="accent4" w:themeFillTint="33"/>
          </w:tcPr>
          <w:p w:rsidR="00A6136C" w:rsidRDefault="00A6136C" w:rsidP="00A6136C">
            <w:pPr>
              <w:rPr>
                <w:b/>
              </w:rPr>
            </w:pPr>
          </w:p>
          <w:p w:rsidR="00A6136C" w:rsidRDefault="00A6136C" w:rsidP="00A6136C">
            <w:pPr>
              <w:rPr>
                <w:b/>
              </w:rPr>
            </w:pPr>
            <w:r>
              <w:rPr>
                <w:b/>
              </w:rPr>
              <w:t>About this sheet</w:t>
            </w:r>
          </w:p>
          <w:p w:rsidR="00A6136C" w:rsidRDefault="00A6136C" w:rsidP="00A6136C">
            <w:pPr>
              <w:spacing w:before="240"/>
              <w:rPr>
                <w:i/>
              </w:rPr>
            </w:pPr>
            <w:r w:rsidRPr="00AA6976">
              <w:rPr>
                <w:i/>
              </w:rPr>
              <w:t xml:space="preserve">The Continuing Competence Free Update Sheet is designed to be used by purchasers of the Continuing Competence Revision Guides for the 2016-2018 period. </w:t>
            </w:r>
          </w:p>
          <w:p w:rsidR="00A6136C" w:rsidRPr="00AA6976" w:rsidRDefault="00A6136C" w:rsidP="00A6136C">
            <w:pPr>
              <w:rPr>
                <w:i/>
              </w:rPr>
            </w:pPr>
          </w:p>
          <w:p w:rsidR="00A6136C" w:rsidRPr="00AA6976" w:rsidRDefault="00A6136C" w:rsidP="00A6136C">
            <w:pPr>
              <w:rPr>
                <w:i/>
              </w:rPr>
            </w:pPr>
            <w:r w:rsidRPr="00AA6976">
              <w:rPr>
                <w:i/>
              </w:rPr>
              <w:t>It will highlight any changes in technical guidance and sources used as a basis for the Continuing Competence question bank to support the revision of users.</w:t>
            </w:r>
          </w:p>
          <w:p w:rsidR="00A6136C" w:rsidRDefault="00A6136C" w:rsidP="00A6136C">
            <w:pPr>
              <w:rPr>
                <w:i/>
              </w:rPr>
            </w:pPr>
          </w:p>
        </w:tc>
      </w:tr>
    </w:tbl>
    <w:p w:rsidR="00A6136C" w:rsidRDefault="00A6136C" w:rsidP="003F6D66">
      <w:pPr>
        <w:spacing w:after="0"/>
        <w:rPr>
          <w:b/>
        </w:rPr>
      </w:pPr>
    </w:p>
    <w:p w:rsidR="00A6136C" w:rsidRDefault="00A6136C" w:rsidP="00A6136C">
      <w:pPr>
        <w:rPr>
          <w:b/>
        </w:rPr>
      </w:pPr>
      <w:r>
        <w:rPr>
          <w:b/>
        </w:rPr>
        <w:t>Frequently Asked Questions (FAQs)</w:t>
      </w:r>
    </w:p>
    <w:p w:rsidR="00A6136C" w:rsidRPr="00F02619" w:rsidRDefault="00A6136C" w:rsidP="00A6136C">
      <w:pPr>
        <w:rPr>
          <w:i/>
          <w:color w:val="7030A0"/>
        </w:rPr>
      </w:pPr>
      <w:r w:rsidRPr="00F02619">
        <w:rPr>
          <w:i/>
          <w:color w:val="7030A0"/>
        </w:rPr>
        <w:t>How much does the test cost?</w:t>
      </w:r>
    </w:p>
    <w:p w:rsidR="00A6136C" w:rsidRDefault="00A6136C" w:rsidP="00A6136C">
      <w:r>
        <w:t xml:space="preserve">Each test costs </w:t>
      </w:r>
      <w:r w:rsidRPr="00964157">
        <w:rPr>
          <w:b/>
          <w:u w:val="single"/>
        </w:rPr>
        <w:t>£139</w:t>
      </w:r>
      <w:r>
        <w:t xml:space="preserve"> irrespective of the number of Activity Specific Tests chosen (a maximum of three activity specific tests can be taken at one time).</w:t>
      </w:r>
    </w:p>
    <w:p w:rsidR="00A6136C" w:rsidRPr="00F02619" w:rsidRDefault="00A6136C" w:rsidP="00A6136C">
      <w:pPr>
        <w:rPr>
          <w:i/>
          <w:color w:val="7030A0"/>
        </w:rPr>
      </w:pPr>
      <w:r w:rsidRPr="00F02619">
        <w:rPr>
          <w:i/>
          <w:color w:val="7030A0"/>
        </w:rPr>
        <w:t>What form of personal identification can I use at the test centre?</w:t>
      </w:r>
    </w:p>
    <w:p w:rsidR="00A6136C" w:rsidRDefault="00A6136C" w:rsidP="00A6136C">
      <w:pPr>
        <w:pStyle w:val="ListParagraph"/>
        <w:numPr>
          <w:ilvl w:val="0"/>
          <w:numId w:val="1"/>
        </w:numPr>
      </w:pPr>
      <w:r>
        <w:t>A valid signed passport of any country with your photograph and signature.</w:t>
      </w:r>
    </w:p>
    <w:p w:rsidR="00A6136C" w:rsidRDefault="00A6136C" w:rsidP="00A6136C">
      <w:pPr>
        <w:pStyle w:val="ListParagraph"/>
        <w:numPr>
          <w:ilvl w:val="0"/>
          <w:numId w:val="1"/>
        </w:numPr>
      </w:pPr>
      <w:r>
        <w:t>A valid signed UK photo card driving licence (full or provisional).</w:t>
      </w:r>
    </w:p>
    <w:p w:rsidR="00A6136C" w:rsidRPr="008A2290" w:rsidRDefault="00A6136C" w:rsidP="00A6136C">
      <w:pPr>
        <w:pStyle w:val="ListParagraph"/>
        <w:numPr>
          <w:ilvl w:val="0"/>
          <w:numId w:val="1"/>
        </w:numPr>
      </w:pPr>
      <w:r>
        <w:t>If you have none of these, you may present a Citizen’s ID Card.</w:t>
      </w:r>
      <w:r w:rsidR="00A352DD" w:rsidRPr="00A352DD">
        <w:rPr>
          <w:noProof/>
          <w:lang w:eastAsia="en-GB"/>
        </w:rPr>
        <w:t xml:space="preserve"> </w:t>
      </w:r>
    </w:p>
    <w:p w:rsidR="00A6136C" w:rsidRDefault="00A6136C" w:rsidP="00A6136C">
      <w:pPr>
        <w:rPr>
          <w:i/>
          <w:color w:val="7030A0"/>
        </w:rPr>
      </w:pPr>
      <w:r>
        <w:rPr>
          <w:i/>
          <w:color w:val="7030A0"/>
        </w:rPr>
        <w:t>How can I find out if I have passed the test?</w:t>
      </w:r>
    </w:p>
    <w:p w:rsidR="003F6D66" w:rsidRDefault="00A6136C" w:rsidP="00286918">
      <w:r>
        <w:t xml:space="preserve">At the end of the test you will receive your score report which provides the scores for each component of the Generic Knowledge Test and the score for each Activity Specific Test you have taken. </w:t>
      </w:r>
    </w:p>
    <w:p w:rsidR="00A6136C" w:rsidRPr="00AB5205" w:rsidRDefault="003F6D66" w:rsidP="00286918">
      <w:r>
        <w:t>T</w:t>
      </w:r>
      <w:r w:rsidR="00A6136C">
        <w:t xml:space="preserve">here is an example on the back of your score report showing how to work out if you’ve passed. Alternatively, you can go to </w:t>
      </w:r>
      <w:hyperlink r:id="rId44" w:history="1">
        <w:r w:rsidR="00A6136C" w:rsidRPr="00902207">
          <w:rPr>
            <w:rStyle w:val="Hyperlink"/>
          </w:rPr>
          <w:t>https://wamitab.org.uk/competence/continuing-competence/test-score-calculator/</w:t>
        </w:r>
      </w:hyperlink>
      <w:r w:rsidR="00A6136C">
        <w:t xml:space="preserve"> and type in your scores.</w:t>
      </w:r>
    </w:p>
    <w:sectPr w:rsidR="00A6136C" w:rsidRPr="00AB5205" w:rsidSect="00A674E5">
      <w:pgSz w:w="11906" w:h="1683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8DF" w:rsidRDefault="00DA58DF" w:rsidP="00033393">
      <w:pPr>
        <w:spacing w:after="0" w:line="240" w:lineRule="auto"/>
      </w:pPr>
      <w:r>
        <w:separator/>
      </w:r>
    </w:p>
  </w:endnote>
  <w:endnote w:type="continuationSeparator" w:id="0">
    <w:p w:rsidR="00DA58DF" w:rsidRDefault="00DA58DF" w:rsidP="00033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Kristen ITC">
    <w:panose1 w:val="03050502040202030202"/>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00770377"/>
      <w:docPartObj>
        <w:docPartGallery w:val="Page Numbers (Bottom of Page)"/>
        <w:docPartUnique/>
      </w:docPartObj>
    </w:sdtPr>
    <w:sdtEndPr/>
    <w:sdtContent>
      <w:sdt>
        <w:sdtPr>
          <w:id w:val="-1011378125"/>
          <w:docPartObj>
            <w:docPartGallery w:val="Page Numbers (Top of Page)"/>
            <w:docPartUnique/>
          </w:docPartObj>
        </w:sdtPr>
        <w:sdtEndPr/>
        <w:sdtContent>
          <w:p w:rsidR="00DA58DF" w:rsidRDefault="00DA58DF" w:rsidP="00FB3587">
            <w:pPr>
              <w:spacing w:after="0"/>
            </w:pPr>
            <w:r>
              <w:rPr>
                <w:noProof/>
                <w:lang w:eastAsia="en-GB"/>
              </w:rPr>
              <mc:AlternateContent>
                <mc:Choice Requires="wps">
                  <w:drawing>
                    <wp:anchor distT="0" distB="0" distL="114300" distR="114300" simplePos="0" relativeHeight="251661312" behindDoc="0" locked="0" layoutInCell="1" allowOverlap="1" wp14:anchorId="70407F35" wp14:editId="755CFA87">
                      <wp:simplePos x="0" y="0"/>
                      <wp:positionH relativeFrom="column">
                        <wp:posOffset>-912495</wp:posOffset>
                      </wp:positionH>
                      <wp:positionV relativeFrom="paragraph">
                        <wp:posOffset>-271051</wp:posOffset>
                      </wp:positionV>
                      <wp:extent cx="7560310" cy="135890"/>
                      <wp:effectExtent l="0" t="0" r="21590" b="16510"/>
                      <wp:wrapNone/>
                      <wp:docPr id="2" name="Rectangle 2"/>
                      <wp:cNvGraphicFramePr/>
                      <a:graphic xmlns:a="http://schemas.openxmlformats.org/drawingml/2006/main">
                        <a:graphicData uri="http://schemas.microsoft.com/office/word/2010/wordprocessingShape">
                          <wps:wsp>
                            <wps:cNvSpPr/>
                            <wps:spPr>
                              <a:xfrm>
                                <a:off x="0" y="0"/>
                                <a:ext cx="7560310" cy="135890"/>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2" o:spid="_x0000_s1026" style="position:absolute;margin-left:-71.85pt;margin-top:-21.35pt;width:595.3pt;height:10.7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" fillcolor="#7030a0" strokecolor="#7030a0" strokeweight="2pt"/>
                  </w:pict>
                </mc:Fallback>
              </mc:AlternateContent>
            </w:r>
            <w:r w:rsidRPr="00FB3587">
              <w:t xml:space="preserve"> </w:t>
            </w:r>
            <w:sdt>
              <w:sdtPr>
                <w:id w:val="106205202"/>
                <w:docPartObj>
                  <w:docPartGallery w:val="Page Numbers (Bottom of Page)"/>
                  <w:docPartUnique/>
                </w:docPartObj>
              </w:sdtPr>
              <w:sdtEndPr/>
              <w:sdtContent>
                <w:sdt>
                  <w:sdtPr>
                    <w:id w:val="565050523"/>
                    <w:docPartObj>
                      <w:docPartGallery w:val="Page Numbers (Top of Page)"/>
                      <w:docPartUnique/>
                    </w:docPartObj>
                  </w:sdtPr>
                  <w:sdtEndPr/>
                  <w:sdtContent>
                    <w:sdt>
                      <w:sdtPr>
                        <w:id w:val="18124399"/>
                        <w:docPartObj>
                          <w:docPartGallery w:val="Page Numbers (Top of Page)"/>
                          <w:docPartUnique/>
                        </w:docPartObj>
                      </w:sdtPr>
                      <w:sdtEndPr/>
                      <w:sdtContent>
                        <w:r>
                          <w:rPr>
                            <w:rFonts w:ascii="Calibri" w:hAnsi="Calibri"/>
                            <w:color w:val="000000"/>
                          </w:rPr>
                          <w:t>Copyright ©2019</w:t>
                        </w:r>
                        <w:r w:rsidRPr="00EE1BFB">
                          <w:rPr>
                            <w:rFonts w:ascii="Calibri" w:hAnsi="Calibri"/>
                            <w:color w:val="000000"/>
                          </w:rPr>
                          <w:t xml:space="preserve"> </w:t>
                        </w:r>
                        <w:r>
                          <w:rPr>
                            <w:rFonts w:ascii="Calibri" w:hAnsi="Calibri"/>
                            <w:color w:val="000000"/>
                          </w:rPr>
                          <w:t xml:space="preserve">WAMITAB                                                                                                   </w:t>
                        </w:r>
                        <w:r w:rsidRPr="00962130">
                          <w:t xml:space="preserve">Page </w:t>
                        </w:r>
                        <w:r w:rsidRPr="00962130">
                          <w:rPr>
                            <w:b/>
                          </w:rPr>
                          <w:fldChar w:fldCharType="begin"/>
                        </w:r>
                        <w:r w:rsidRPr="00962130">
                          <w:rPr>
                            <w:b/>
                          </w:rPr>
                          <w:instrText xml:space="preserve"> PAGE </w:instrText>
                        </w:r>
                        <w:r w:rsidRPr="00962130">
                          <w:rPr>
                            <w:b/>
                          </w:rPr>
                          <w:fldChar w:fldCharType="separate"/>
                        </w:r>
                        <w:r w:rsidR="00E01015">
                          <w:rPr>
                            <w:b/>
                            <w:noProof/>
                          </w:rPr>
                          <w:t>1</w:t>
                        </w:r>
                        <w:r w:rsidRPr="00962130">
                          <w:rPr>
                            <w:b/>
                          </w:rPr>
                          <w:fldChar w:fldCharType="end"/>
                        </w:r>
                        <w:r w:rsidRPr="00962130">
                          <w:t xml:space="preserve"> of </w:t>
                        </w:r>
                        <w:r w:rsidRPr="00962130">
                          <w:rPr>
                            <w:b/>
                          </w:rPr>
                          <w:fldChar w:fldCharType="begin"/>
                        </w:r>
                        <w:r w:rsidRPr="00962130">
                          <w:rPr>
                            <w:b/>
                          </w:rPr>
                          <w:instrText xml:space="preserve"> NUMPAGES  </w:instrText>
                        </w:r>
                        <w:r w:rsidRPr="00962130">
                          <w:rPr>
                            <w:b/>
                          </w:rPr>
                          <w:fldChar w:fldCharType="separate"/>
                        </w:r>
                        <w:r w:rsidR="00E01015">
                          <w:rPr>
                            <w:b/>
                            <w:noProof/>
                          </w:rPr>
                          <w:t>6</w:t>
                        </w:r>
                        <w:r w:rsidRPr="00962130">
                          <w:rPr>
                            <w:b/>
                          </w:rPr>
                          <w:fldChar w:fldCharType="end"/>
                        </w:r>
                      </w:sdtContent>
                    </w:sdt>
                  </w:sdtContent>
                </w:sdt>
              </w:sdtContent>
            </w:sdt>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8DF" w:rsidRDefault="00DA58DF" w:rsidP="00033393">
      <w:pPr>
        <w:spacing w:after="0" w:line="240" w:lineRule="auto"/>
      </w:pPr>
      <w:r>
        <w:separator/>
      </w:r>
    </w:p>
  </w:footnote>
  <w:footnote w:type="continuationSeparator" w:id="0">
    <w:p w:rsidR="00DA58DF" w:rsidRDefault="00DA58DF" w:rsidP="0003339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58DF" w:rsidRPr="00033393" w:rsidRDefault="00DA58DF">
    <w:pPr>
      <w:pStyle w:val="Header"/>
      <w:rPr>
        <w:b/>
      </w:rPr>
    </w:pPr>
    <w:r w:rsidRPr="00033393">
      <w:rPr>
        <w:b/>
        <w:noProof/>
        <w:lang w:eastAsia="en-GB"/>
      </w:rPr>
      <mc:AlternateContent>
        <mc:Choice Requires="wps">
          <w:drawing>
            <wp:anchor distT="0" distB="0" distL="114300" distR="114300" simplePos="0" relativeHeight="251659264" behindDoc="0" locked="0" layoutInCell="1" allowOverlap="1" wp14:anchorId="44E2476F" wp14:editId="37DB39AD">
              <wp:simplePos x="0" y="0"/>
              <wp:positionH relativeFrom="column">
                <wp:posOffset>-914400</wp:posOffset>
              </wp:positionH>
              <wp:positionV relativeFrom="paragraph">
                <wp:posOffset>314695</wp:posOffset>
              </wp:positionV>
              <wp:extent cx="7560860" cy="136477"/>
              <wp:effectExtent l="0" t="0" r="21590" b="16510"/>
              <wp:wrapNone/>
              <wp:docPr id="1" name="Rectangle 1"/>
              <wp:cNvGraphicFramePr/>
              <a:graphic xmlns:a="http://schemas.openxmlformats.org/drawingml/2006/main">
                <a:graphicData uri="http://schemas.microsoft.com/office/word/2010/wordprocessingShape">
                  <wps:wsp>
                    <wps:cNvSpPr/>
                    <wps:spPr>
                      <a:xfrm>
                        <a:off x="0" y="0"/>
                        <a:ext cx="7560860" cy="136477"/>
                      </a:xfrm>
                      <a:prstGeom prst="rect">
                        <a:avLst/>
                      </a:prstGeom>
                      <a:solidFill>
                        <a:srgbClr val="7030A0"/>
                      </a:solidFill>
                      <a:ln>
                        <a:solidFill>
                          <a:srgbClr val="7030A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 o:spid="_x0000_s1026" style="position:absolute;margin-left:-1in;margin-top:24.8pt;width:595.35pt;height:1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" fillcolor="#7030a0" strokecolor="#7030a0" strokeweight="2pt"/>
          </w:pict>
        </mc:Fallback>
      </mc:AlternateContent>
    </w:r>
    <w:r w:rsidRPr="00033393">
      <w:rPr>
        <w:b/>
      </w:rPr>
      <w:t>Continuing Competence</w:t>
    </w:r>
    <w:r w:rsidRPr="00033393">
      <w:rPr>
        <w:b/>
      </w:rPr>
      <w:ptab w:relativeTo="margin" w:alignment="center" w:leader="none"/>
    </w:r>
    <w:r w:rsidRPr="00033393">
      <w:rPr>
        <w:b/>
      </w:rPr>
      <w:t>Free Update Sheet</w:t>
    </w:r>
    <w:r w:rsidRPr="00033393">
      <w:rPr>
        <w:b/>
      </w:rPr>
      <w:ptab w:relativeTo="margin" w:alignment="right" w:leader="none"/>
    </w:r>
    <w:r w:rsidRPr="00033393">
      <w:rPr>
        <w:b/>
      </w:rPr>
      <w:t>Period 2019-2021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1596"/>
    <w:multiLevelType w:val="hybridMultilevel"/>
    <w:tmpl w:val="8738F31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72B2A70"/>
    <w:multiLevelType w:val="hybridMultilevel"/>
    <w:tmpl w:val="6CFEA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0FD80834"/>
    <w:multiLevelType w:val="hybridMultilevel"/>
    <w:tmpl w:val="BA3AB68C"/>
    <w:lvl w:ilvl="0" w:tplc="9E3CE6A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13154F83"/>
    <w:multiLevelType w:val="hybridMultilevel"/>
    <w:tmpl w:val="4330DC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nsid w:val="17B707DC"/>
    <w:multiLevelType w:val="hybridMultilevel"/>
    <w:tmpl w:val="7744D4FA"/>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AA676F2"/>
    <w:multiLevelType w:val="hybridMultilevel"/>
    <w:tmpl w:val="E5B6F9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1AFD073D"/>
    <w:multiLevelType w:val="hybridMultilevel"/>
    <w:tmpl w:val="B60208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nsid w:val="1FAC350C"/>
    <w:multiLevelType w:val="hybridMultilevel"/>
    <w:tmpl w:val="79648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201B67C3"/>
    <w:multiLevelType w:val="hybridMultilevel"/>
    <w:tmpl w:val="BC905A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41E5B49"/>
    <w:multiLevelType w:val="hybridMultilevel"/>
    <w:tmpl w:val="9540354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CA90B17"/>
    <w:multiLevelType w:val="hybridMultilevel"/>
    <w:tmpl w:val="24BE0C2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F8B17B5"/>
    <w:multiLevelType w:val="hybridMultilevel"/>
    <w:tmpl w:val="72B06D24"/>
    <w:lvl w:ilvl="0" w:tplc="B308D312">
      <w:numFmt w:val="bullet"/>
      <w:lvlText w:val="•"/>
      <w:lvlJc w:val="left"/>
      <w:pPr>
        <w:ind w:left="360" w:hanging="360"/>
      </w:pPr>
      <w:rPr>
        <w:rFonts w:ascii="Calibri" w:eastAsiaTheme="minorHAnsi" w:hAnsi="Calibri"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312B6EC5"/>
    <w:multiLevelType w:val="hybridMultilevel"/>
    <w:tmpl w:val="B352DC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44C7BE9"/>
    <w:multiLevelType w:val="hybridMultilevel"/>
    <w:tmpl w:val="B7C8EE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nsid w:val="38106FB0"/>
    <w:multiLevelType w:val="hybridMultilevel"/>
    <w:tmpl w:val="095097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3C2F11BB"/>
    <w:multiLevelType w:val="hybridMultilevel"/>
    <w:tmpl w:val="CD9EB9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nsid w:val="3D900997"/>
    <w:multiLevelType w:val="hybridMultilevel"/>
    <w:tmpl w:val="205A7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41005908"/>
    <w:multiLevelType w:val="hybridMultilevel"/>
    <w:tmpl w:val="B9C8BE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663776D"/>
    <w:multiLevelType w:val="hybridMultilevel"/>
    <w:tmpl w:val="D32495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nsid w:val="490F0D98"/>
    <w:multiLevelType w:val="hybridMultilevel"/>
    <w:tmpl w:val="4C42165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494B7836"/>
    <w:multiLevelType w:val="hybridMultilevel"/>
    <w:tmpl w:val="0E16DE30"/>
    <w:lvl w:ilvl="0" w:tplc="0ACA5488">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9C13394"/>
    <w:multiLevelType w:val="hybridMultilevel"/>
    <w:tmpl w:val="F848AD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nsid w:val="4A596AD8"/>
    <w:multiLevelType w:val="hybridMultilevel"/>
    <w:tmpl w:val="6AB61F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DFE467A"/>
    <w:multiLevelType w:val="hybridMultilevel"/>
    <w:tmpl w:val="146A6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nsid w:val="57116E97"/>
    <w:multiLevelType w:val="hybridMultilevel"/>
    <w:tmpl w:val="B2029D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nsid w:val="68B94FC3"/>
    <w:multiLevelType w:val="hybridMultilevel"/>
    <w:tmpl w:val="86EEE5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CEB4B11"/>
    <w:multiLevelType w:val="hybridMultilevel"/>
    <w:tmpl w:val="0DEA48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70250817"/>
    <w:multiLevelType w:val="hybridMultilevel"/>
    <w:tmpl w:val="1158CF3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nsid w:val="70734CE4"/>
    <w:multiLevelType w:val="hybridMultilevel"/>
    <w:tmpl w:val="04CAF5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nsid w:val="734E388E"/>
    <w:multiLevelType w:val="hybridMultilevel"/>
    <w:tmpl w:val="B68A5D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747E68E5"/>
    <w:multiLevelType w:val="hybridMultilevel"/>
    <w:tmpl w:val="8C7E60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nsid w:val="7A1844FD"/>
    <w:multiLevelType w:val="hybridMultilevel"/>
    <w:tmpl w:val="DABCE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nsid w:val="7D7537EE"/>
    <w:multiLevelType w:val="hybridMultilevel"/>
    <w:tmpl w:val="CBD40E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0"/>
  </w:num>
  <w:num w:numId="3">
    <w:abstractNumId w:val="29"/>
  </w:num>
  <w:num w:numId="4">
    <w:abstractNumId w:val="17"/>
  </w:num>
  <w:num w:numId="5">
    <w:abstractNumId w:val="1"/>
  </w:num>
  <w:num w:numId="6">
    <w:abstractNumId w:val="15"/>
  </w:num>
  <w:num w:numId="7">
    <w:abstractNumId w:val="28"/>
  </w:num>
  <w:num w:numId="8">
    <w:abstractNumId w:val="9"/>
  </w:num>
  <w:num w:numId="9">
    <w:abstractNumId w:val="0"/>
  </w:num>
  <w:num w:numId="10">
    <w:abstractNumId w:val="3"/>
  </w:num>
  <w:num w:numId="11">
    <w:abstractNumId w:val="5"/>
  </w:num>
  <w:num w:numId="12">
    <w:abstractNumId w:val="4"/>
  </w:num>
  <w:num w:numId="13">
    <w:abstractNumId w:val="22"/>
  </w:num>
  <w:num w:numId="14">
    <w:abstractNumId w:val="18"/>
  </w:num>
  <w:num w:numId="15">
    <w:abstractNumId w:val="32"/>
  </w:num>
  <w:num w:numId="16">
    <w:abstractNumId w:val="11"/>
  </w:num>
  <w:num w:numId="17">
    <w:abstractNumId w:val="7"/>
  </w:num>
  <w:num w:numId="18">
    <w:abstractNumId w:val="30"/>
  </w:num>
  <w:num w:numId="19">
    <w:abstractNumId w:val="14"/>
  </w:num>
  <w:num w:numId="20">
    <w:abstractNumId w:val="27"/>
  </w:num>
  <w:num w:numId="21">
    <w:abstractNumId w:val="24"/>
  </w:num>
  <w:num w:numId="22">
    <w:abstractNumId w:val="21"/>
  </w:num>
  <w:num w:numId="23">
    <w:abstractNumId w:val="23"/>
  </w:num>
  <w:num w:numId="24">
    <w:abstractNumId w:val="2"/>
  </w:num>
  <w:num w:numId="25">
    <w:abstractNumId w:val="12"/>
  </w:num>
  <w:num w:numId="26">
    <w:abstractNumId w:val="8"/>
  </w:num>
  <w:num w:numId="27">
    <w:abstractNumId w:val="31"/>
  </w:num>
  <w:num w:numId="28">
    <w:abstractNumId w:val="26"/>
  </w:num>
  <w:num w:numId="29">
    <w:abstractNumId w:val="13"/>
  </w:num>
  <w:num w:numId="30">
    <w:abstractNumId w:val="20"/>
  </w:num>
  <w:num w:numId="31">
    <w:abstractNumId w:val="6"/>
  </w:num>
  <w:num w:numId="32">
    <w:abstractNumId w:val="19"/>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0CA7"/>
    <w:rsid w:val="000218C2"/>
    <w:rsid w:val="0002797C"/>
    <w:rsid w:val="00033393"/>
    <w:rsid w:val="00052814"/>
    <w:rsid w:val="000725CE"/>
    <w:rsid w:val="000B6BCC"/>
    <w:rsid w:val="000C3A3D"/>
    <w:rsid w:val="001173DA"/>
    <w:rsid w:val="001B4201"/>
    <w:rsid w:val="00212E7A"/>
    <w:rsid w:val="00286918"/>
    <w:rsid w:val="00327D79"/>
    <w:rsid w:val="003321AB"/>
    <w:rsid w:val="003362A5"/>
    <w:rsid w:val="00363285"/>
    <w:rsid w:val="00383F40"/>
    <w:rsid w:val="003929D1"/>
    <w:rsid w:val="003F6D66"/>
    <w:rsid w:val="00440CA7"/>
    <w:rsid w:val="004468B2"/>
    <w:rsid w:val="005607D4"/>
    <w:rsid w:val="00571170"/>
    <w:rsid w:val="005A7D53"/>
    <w:rsid w:val="00616296"/>
    <w:rsid w:val="00635028"/>
    <w:rsid w:val="00662EDA"/>
    <w:rsid w:val="0067484C"/>
    <w:rsid w:val="0069215B"/>
    <w:rsid w:val="006F2D66"/>
    <w:rsid w:val="0071791E"/>
    <w:rsid w:val="007525BA"/>
    <w:rsid w:val="007A593D"/>
    <w:rsid w:val="007F566C"/>
    <w:rsid w:val="0088117B"/>
    <w:rsid w:val="008A2290"/>
    <w:rsid w:val="008B1233"/>
    <w:rsid w:val="00917404"/>
    <w:rsid w:val="009253D5"/>
    <w:rsid w:val="00937E1C"/>
    <w:rsid w:val="00964157"/>
    <w:rsid w:val="00972763"/>
    <w:rsid w:val="009B5506"/>
    <w:rsid w:val="009C3124"/>
    <w:rsid w:val="009F1DC3"/>
    <w:rsid w:val="00A03382"/>
    <w:rsid w:val="00A34693"/>
    <w:rsid w:val="00A352DD"/>
    <w:rsid w:val="00A6136C"/>
    <w:rsid w:val="00A61532"/>
    <w:rsid w:val="00A674E5"/>
    <w:rsid w:val="00A97B72"/>
    <w:rsid w:val="00AA0DCA"/>
    <w:rsid w:val="00AA6976"/>
    <w:rsid w:val="00AB233B"/>
    <w:rsid w:val="00AB5205"/>
    <w:rsid w:val="00AC04D5"/>
    <w:rsid w:val="00AC5A3C"/>
    <w:rsid w:val="00AE4804"/>
    <w:rsid w:val="00B15D2A"/>
    <w:rsid w:val="00BC5A75"/>
    <w:rsid w:val="00BE5446"/>
    <w:rsid w:val="00BF5466"/>
    <w:rsid w:val="00C02BF3"/>
    <w:rsid w:val="00C20806"/>
    <w:rsid w:val="00CA6C08"/>
    <w:rsid w:val="00D33723"/>
    <w:rsid w:val="00D73636"/>
    <w:rsid w:val="00D82A3F"/>
    <w:rsid w:val="00D90EA2"/>
    <w:rsid w:val="00D9698D"/>
    <w:rsid w:val="00DA362E"/>
    <w:rsid w:val="00DA58DF"/>
    <w:rsid w:val="00DB0056"/>
    <w:rsid w:val="00DF320C"/>
    <w:rsid w:val="00E01015"/>
    <w:rsid w:val="00E57C78"/>
    <w:rsid w:val="00E6203E"/>
    <w:rsid w:val="00E75413"/>
    <w:rsid w:val="00E7595A"/>
    <w:rsid w:val="00E8497F"/>
    <w:rsid w:val="00E961A5"/>
    <w:rsid w:val="00EA0BF3"/>
    <w:rsid w:val="00EC1D12"/>
    <w:rsid w:val="00F02619"/>
    <w:rsid w:val="00F029FD"/>
    <w:rsid w:val="00F25F79"/>
    <w:rsid w:val="00F269D0"/>
    <w:rsid w:val="00F517F2"/>
    <w:rsid w:val="00F9256E"/>
    <w:rsid w:val="00FB3587"/>
    <w:rsid w:val="00FE3F10"/>
    <w:rsid w:val="00FF5A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paragraph" w:customStyle="1" w:styleId="Quick">
    <w:name w:val="Quick ­"/>
    <w:basedOn w:val="Normal"/>
    <w:rsid w:val="009253D5"/>
    <w:pPr>
      <w:widowControl w:val="0"/>
      <w:spacing w:after="0" w:line="240" w:lineRule="auto"/>
      <w:ind w:left="720" w:hanging="720"/>
    </w:pPr>
    <w:rPr>
      <w:rFonts w:ascii="CG Times" w:eastAsia="Times New Roman" w:hAnsi="CG Times" w:cs="Times New Roman"/>
      <w:snapToGrid w:val="0"/>
      <w:sz w:val="24"/>
      <w:szCs w:val="20"/>
      <w:lang w:val="en-US"/>
    </w:rPr>
  </w:style>
  <w:style w:type="character" w:styleId="CommentReference">
    <w:name w:val="annotation reference"/>
    <w:basedOn w:val="DefaultParagraphFont"/>
    <w:uiPriority w:val="99"/>
    <w:semiHidden/>
    <w:unhideWhenUsed/>
    <w:rsid w:val="00D9698D"/>
    <w:rPr>
      <w:sz w:val="16"/>
      <w:szCs w:val="16"/>
    </w:rPr>
  </w:style>
  <w:style w:type="paragraph" w:styleId="CommentText">
    <w:name w:val="annotation text"/>
    <w:basedOn w:val="Normal"/>
    <w:link w:val="CommentTextChar"/>
    <w:uiPriority w:val="99"/>
    <w:semiHidden/>
    <w:unhideWhenUsed/>
    <w:rsid w:val="00D9698D"/>
    <w:pPr>
      <w:spacing w:line="240" w:lineRule="auto"/>
    </w:pPr>
    <w:rPr>
      <w:sz w:val="20"/>
      <w:szCs w:val="20"/>
    </w:rPr>
  </w:style>
  <w:style w:type="character" w:customStyle="1" w:styleId="CommentTextChar">
    <w:name w:val="Comment Text Char"/>
    <w:basedOn w:val="DefaultParagraphFont"/>
    <w:link w:val="CommentText"/>
    <w:uiPriority w:val="99"/>
    <w:semiHidden/>
    <w:rsid w:val="00D9698D"/>
    <w:rPr>
      <w:sz w:val="20"/>
      <w:szCs w:val="20"/>
    </w:rPr>
  </w:style>
  <w:style w:type="paragraph" w:styleId="CommentSubject">
    <w:name w:val="annotation subject"/>
    <w:basedOn w:val="CommentText"/>
    <w:next w:val="CommentText"/>
    <w:link w:val="CommentSubjectChar"/>
    <w:uiPriority w:val="99"/>
    <w:semiHidden/>
    <w:unhideWhenUsed/>
    <w:rsid w:val="00D9698D"/>
    <w:rPr>
      <w:b/>
      <w:bCs/>
    </w:rPr>
  </w:style>
  <w:style w:type="character" w:customStyle="1" w:styleId="CommentSubjectChar">
    <w:name w:val="Comment Subject Char"/>
    <w:basedOn w:val="CommentTextChar"/>
    <w:link w:val="CommentSubject"/>
    <w:uiPriority w:val="99"/>
    <w:semiHidden/>
    <w:rsid w:val="00D9698D"/>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286918"/>
    <w:pPr>
      <w:keepNext/>
      <w:keepLines/>
      <w:spacing w:after="240"/>
      <w:outlineLvl w:val="1"/>
    </w:pPr>
    <w:rPr>
      <w:rFonts w:ascii="Calibri" w:eastAsia="Times New Roman" w:hAnsi="Calibri" w:cs="Times New Roman"/>
      <w:b/>
      <w:bCs/>
      <w:color w:val="8064A2" w:themeColor="accent4"/>
      <w:sz w:val="26"/>
      <w:szCs w:val="2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333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33393"/>
  </w:style>
  <w:style w:type="paragraph" w:styleId="Footer">
    <w:name w:val="footer"/>
    <w:basedOn w:val="Normal"/>
    <w:link w:val="FooterChar"/>
    <w:uiPriority w:val="99"/>
    <w:unhideWhenUsed/>
    <w:rsid w:val="000333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33393"/>
  </w:style>
  <w:style w:type="paragraph" w:styleId="BalloonText">
    <w:name w:val="Balloon Text"/>
    <w:basedOn w:val="Normal"/>
    <w:link w:val="BalloonTextChar"/>
    <w:uiPriority w:val="99"/>
    <w:semiHidden/>
    <w:unhideWhenUsed/>
    <w:rsid w:val="000333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33393"/>
    <w:rPr>
      <w:rFonts w:ascii="Tahoma" w:hAnsi="Tahoma" w:cs="Tahoma"/>
      <w:sz w:val="16"/>
      <w:szCs w:val="16"/>
    </w:rPr>
  </w:style>
  <w:style w:type="table" w:styleId="TableGrid">
    <w:name w:val="Table Grid"/>
    <w:basedOn w:val="TableNormal"/>
    <w:uiPriority w:val="59"/>
    <w:rsid w:val="00BE54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F02619"/>
    <w:pPr>
      <w:ind w:left="720"/>
      <w:contextualSpacing/>
    </w:pPr>
  </w:style>
  <w:style w:type="character" w:styleId="Hyperlink">
    <w:name w:val="Hyperlink"/>
    <w:basedOn w:val="DefaultParagraphFont"/>
    <w:uiPriority w:val="99"/>
    <w:unhideWhenUsed/>
    <w:rsid w:val="00F02619"/>
    <w:rPr>
      <w:color w:val="0000FF" w:themeColor="hyperlink"/>
      <w:u w:val="single"/>
    </w:rPr>
  </w:style>
  <w:style w:type="table" w:styleId="LightShading-Accent4">
    <w:name w:val="Light Shading Accent 4"/>
    <w:basedOn w:val="TableNormal"/>
    <w:uiPriority w:val="60"/>
    <w:rsid w:val="00C02BF3"/>
    <w:pPr>
      <w:spacing w:after="0" w:line="240" w:lineRule="auto"/>
    </w:pPr>
    <w:rPr>
      <w:rFonts w:eastAsiaTheme="minorEastAsia"/>
      <w:color w:val="5F497A" w:themeColor="accent4" w:themeShade="BF"/>
      <w:lang w:eastAsia="en-GB"/>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2Char">
    <w:name w:val="Heading 2 Char"/>
    <w:basedOn w:val="DefaultParagraphFont"/>
    <w:link w:val="Heading2"/>
    <w:uiPriority w:val="9"/>
    <w:rsid w:val="00286918"/>
    <w:rPr>
      <w:rFonts w:ascii="Calibri" w:eastAsia="Times New Roman" w:hAnsi="Calibri" w:cs="Times New Roman"/>
      <w:b/>
      <w:bCs/>
      <w:color w:val="8064A2" w:themeColor="accent4"/>
      <w:sz w:val="26"/>
      <w:szCs w:val="26"/>
      <w:lang w:eastAsia="en-GB"/>
    </w:rPr>
  </w:style>
  <w:style w:type="paragraph" w:customStyle="1" w:styleId="Quick">
    <w:name w:val="Quick ­"/>
    <w:basedOn w:val="Normal"/>
    <w:rsid w:val="009253D5"/>
    <w:pPr>
      <w:widowControl w:val="0"/>
      <w:spacing w:after="0" w:line="240" w:lineRule="auto"/>
      <w:ind w:left="720" w:hanging="720"/>
    </w:pPr>
    <w:rPr>
      <w:rFonts w:ascii="CG Times" w:eastAsia="Times New Roman" w:hAnsi="CG Times" w:cs="Times New Roman"/>
      <w:snapToGrid w:val="0"/>
      <w:sz w:val="24"/>
      <w:szCs w:val="20"/>
      <w:lang w:val="en-US"/>
    </w:rPr>
  </w:style>
  <w:style w:type="character" w:styleId="CommentReference">
    <w:name w:val="annotation reference"/>
    <w:basedOn w:val="DefaultParagraphFont"/>
    <w:uiPriority w:val="99"/>
    <w:semiHidden/>
    <w:unhideWhenUsed/>
    <w:rsid w:val="00D9698D"/>
    <w:rPr>
      <w:sz w:val="16"/>
      <w:szCs w:val="16"/>
    </w:rPr>
  </w:style>
  <w:style w:type="paragraph" w:styleId="CommentText">
    <w:name w:val="annotation text"/>
    <w:basedOn w:val="Normal"/>
    <w:link w:val="CommentTextChar"/>
    <w:uiPriority w:val="99"/>
    <w:semiHidden/>
    <w:unhideWhenUsed/>
    <w:rsid w:val="00D9698D"/>
    <w:pPr>
      <w:spacing w:line="240" w:lineRule="auto"/>
    </w:pPr>
    <w:rPr>
      <w:sz w:val="20"/>
      <w:szCs w:val="20"/>
    </w:rPr>
  </w:style>
  <w:style w:type="character" w:customStyle="1" w:styleId="CommentTextChar">
    <w:name w:val="Comment Text Char"/>
    <w:basedOn w:val="DefaultParagraphFont"/>
    <w:link w:val="CommentText"/>
    <w:uiPriority w:val="99"/>
    <w:semiHidden/>
    <w:rsid w:val="00D9698D"/>
    <w:rPr>
      <w:sz w:val="20"/>
      <w:szCs w:val="20"/>
    </w:rPr>
  </w:style>
  <w:style w:type="paragraph" w:styleId="CommentSubject">
    <w:name w:val="annotation subject"/>
    <w:basedOn w:val="CommentText"/>
    <w:next w:val="CommentText"/>
    <w:link w:val="CommentSubjectChar"/>
    <w:uiPriority w:val="99"/>
    <w:semiHidden/>
    <w:unhideWhenUsed/>
    <w:rsid w:val="00D9698D"/>
    <w:rPr>
      <w:b/>
      <w:bCs/>
    </w:rPr>
  </w:style>
  <w:style w:type="character" w:customStyle="1" w:styleId="CommentSubjectChar">
    <w:name w:val="Comment Subject Char"/>
    <w:basedOn w:val="CommentTextChar"/>
    <w:link w:val="CommentSubject"/>
    <w:uiPriority w:val="99"/>
    <w:semiHidden/>
    <w:rsid w:val="00D9698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1605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gov.uk/government/publications/financial-provision-for-landfill" TargetMode="External"/><Relationship Id="rId18" Type="http://schemas.openxmlformats.org/officeDocument/2006/relationships/hyperlink" Target="https://www.gov.uk/government/uploads/system/uploads/attachment_data/file/296422/geho1110btew-e-e.pdf" TargetMode="External"/><Relationship Id="rId26" Type="http://schemas.openxmlformats.org/officeDocument/2006/relationships/hyperlink" Target="https://www.gov.uk/government/uploads/system/uploads/attachment_data/file/322411/Guidance_for_the_Treatment_of_Landfill_Leachate_part_1.pdf" TargetMode="External"/><Relationship Id="rId39" Type="http://schemas.openxmlformats.org/officeDocument/2006/relationships/hyperlink" Target="http://www.hse.gov.uk/fireandexplosion/dsear.htm" TargetMode="External"/><Relationship Id="rId3" Type="http://schemas.openxmlformats.org/officeDocument/2006/relationships/styles" Target="styles.xml"/><Relationship Id="rId21" Type="http://schemas.openxmlformats.org/officeDocument/2006/relationships/hyperlink" Target="https://www.gov.uk/guidance/hazardous-waste-consignment-note-supplementary-guidance" TargetMode="External"/><Relationship Id="rId34" Type="http://schemas.openxmlformats.org/officeDocument/2006/relationships/hyperlink" Target="https://www.gov.uk/guidance/develop-a-management-system-environmental-permits" TargetMode="External"/><Relationship Id="rId42" Type="http://schemas.openxmlformats.org/officeDocument/2006/relationships/hyperlink" Target="http://www.esauk.org/reports_press_releases/esa_reports/ICoP1_DSEAR.pdf" TargetMode="External"/><Relationship Id="rId7" Type="http://schemas.openxmlformats.org/officeDocument/2006/relationships/footnotes" Target="footnotes.xml"/><Relationship Id="rId12" Type="http://schemas.openxmlformats.org/officeDocument/2006/relationships/hyperlink" Target="https://cdn.naturalresources.wales/media/2111/how-to-comply-with-your-environmental-permit-additional-guidance-for-landfill-epr-502.pdf?mode=pad&amp;rnd=131467614970000000" TargetMode="External"/><Relationship Id="rId17" Type="http://schemas.openxmlformats.org/officeDocument/2006/relationships/hyperlink" Target="https://www.gov.uk/government/uploads/system/uploads/attachment_data/file/321514/LFE5.pdf" TargetMode="External"/><Relationship Id="rId25" Type="http://schemas.openxmlformats.org/officeDocument/2006/relationships/hyperlink" Target="http://www.esauk.org/reports_press_releases/esa_reports/LandfillgasICoP2012web.pdf" TargetMode="External"/><Relationship Id="rId33" Type="http://schemas.openxmlformats.org/officeDocument/2006/relationships/hyperlink" Target="https://www.gov.uk/dispose-hazardous-waste/consignee-returns" TargetMode="External"/><Relationship Id="rId38" Type="http://schemas.openxmlformats.org/officeDocument/2006/relationships/hyperlink" Target="https://www.gov.uk/government/uploads/system/uploads/attachment_data/file/296536/LIT_8286_f89fa7.pdf" TargetMode="External"/><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amitab.org.uk/wp-content/uploads/2018/09/CIWM-WAMITAB-Operator-Competence-Scheme-Version-9-Final.pdf" TargetMode="External"/><Relationship Id="rId20" Type="http://schemas.openxmlformats.org/officeDocument/2006/relationships/hyperlink" Target="https://www.gov.uk/government/uploads/system/uploads/attachment_data/file/427077/LIT_10121.pdf" TargetMode="External"/><Relationship Id="rId29" Type="http://schemas.openxmlformats.org/officeDocument/2006/relationships/hyperlink" Target="https://www.gov.uk/government/publications/hydrogeological-risk-assessment-report-template" TargetMode="External"/><Relationship Id="rId41" Type="http://schemas.openxmlformats.org/officeDocument/2006/relationships/hyperlink" Target="http://www.esauk.org/reports_press_releases/esa_reports/ICoP_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gov.uk/government/uploads/system/uploads/attachment_data/file/296861/geho0409bput-e-e.pdf" TargetMode="External"/><Relationship Id="rId24" Type="http://schemas.openxmlformats.org/officeDocument/2006/relationships/hyperlink" Target="https://www.gov.uk/government/uploads/system/uploads/attachment_data/file/321609/LFTGN04.pdf" TargetMode="External"/><Relationship Id="rId32" Type="http://schemas.openxmlformats.org/officeDocument/2006/relationships/hyperlink" Target="https://www.gov.uk/government/uploads/system/uploads/attachment_data/file/321537/LFE6_guidance_on_using_landfill_cover_materials.pdf" TargetMode="External"/><Relationship Id="rId37" Type="http://schemas.openxmlformats.org/officeDocument/2006/relationships/hyperlink" Target="https://cdn.naturalresources.wales/media/682296/how-to-surrender-your-environmental-permit.pdf?mode=pad&amp;rnd=131502889290000000" TargetMode="External"/><Relationship Id="rId40" Type="http://schemas.openxmlformats.org/officeDocument/2006/relationships/hyperlink" Target="http://www.hse.gov.uk/waste/landfillfires.htm"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eur-lex.europa.eu/legal-content/EN/TXT/PDF/?uri=CELEX:31999L0031&amp;from=EN" TargetMode="External"/><Relationship Id="rId23" Type="http://schemas.openxmlformats.org/officeDocument/2006/relationships/hyperlink" Target="https://www.gov.uk/government/uploads/system/uploads/attachment_data/file/321606/LFTGN03.pdf" TargetMode="External"/><Relationship Id="rId28" Type="http://schemas.openxmlformats.org/officeDocument/2006/relationships/hyperlink" Target="https://www.gov.uk/government/publications/monitoring-of-landfill-leachate-groundwater-and-surface-water-lftgn-02" TargetMode="External"/><Relationship Id="rId36" Type="http://schemas.openxmlformats.org/officeDocument/2006/relationships/hyperlink" Target="https://assets.publishing.service.gov.uk/government/uploads/system/uploads/attachment_data/file/321656/LIT_5144.pdf" TargetMode="External"/><Relationship Id="rId10" Type="http://schemas.openxmlformats.org/officeDocument/2006/relationships/footer" Target="footer1.xml"/><Relationship Id="rId19" Type="http://schemas.openxmlformats.org/officeDocument/2006/relationships/hyperlink" Target="https://webarchive.nationalarchives.gov.uk/20140328090410/http:/cdn.environment-agency.gov.uk/geho0612bwph-e-e.pdf" TargetMode="External"/><Relationship Id="rId31" Type="http://schemas.openxmlformats.org/officeDocument/2006/relationships/hyperlink" Target="http://www.hse.gov.uk/pubns/indg199.pdf" TargetMode="External"/><Relationship Id="rId44" Type="http://schemas.openxmlformats.org/officeDocument/2006/relationships/hyperlink" Target="https://wamitab.org.uk/competence/continuing-competence/test-score-calculator/" TargetMode="Externa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cdn.naturalresources.wales/media/1216/understanding-the-landfill-directive-lfd-1.pdf?mode=pad&amp;rnd=131467659650000000" TargetMode="External"/><Relationship Id="rId22" Type="http://schemas.openxmlformats.org/officeDocument/2006/relationships/hyperlink" Target="http://www.legislation.gov.uk/wsi/2005/1806/pdfs/wsi_20051806_mi.pdf" TargetMode="External"/><Relationship Id="rId27" Type="http://schemas.openxmlformats.org/officeDocument/2006/relationships/hyperlink" Target="https://assets.publishing.service.gov.uk/government/uploads/system/uploads/attachment_data/file/321214/Briefing_note_Monitoring_Compliance_recording.pdf" TargetMode="External"/><Relationship Id="rId30" Type="http://schemas.openxmlformats.org/officeDocument/2006/relationships/hyperlink" Target="https://www.gov.uk/government/uploads/system/uploads/attachment_data/file/365144/review_and_investigation_of_deep-seated_fires_within_landfill_sites.pdf" TargetMode="External"/><Relationship Id="rId35" Type="http://schemas.openxmlformats.org/officeDocument/2006/relationships/hyperlink" Target="https://naturalresources.wales/guidance-and-advice/environmental-topics/waste-management/hazardous-waste-returns-1/?lang=en" TargetMode="External"/><Relationship Id="rId43" Type="http://schemas.openxmlformats.org/officeDocument/2006/relationships/hyperlink" Target="http://www.hse.gov.uk/vibration/wbv/ris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6A679164-A133-420F-9FDD-9B3ECBAFC7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2803</Words>
  <Characters>15983</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Wamitab</Company>
  <LinksUpToDate>false</LinksUpToDate>
  <CharactersWithSpaces>18749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 Kemp</dc:creator>
  <cp:lastModifiedBy>Sophie Howard</cp:lastModifiedBy>
  <cp:revision>2</cp:revision>
  <cp:lastPrinted>2018-11-07T09:57:00Z</cp:lastPrinted>
  <dcterms:created xsi:type="dcterms:W3CDTF">2019-02-18T16:23:00Z</dcterms:created>
  <dcterms:modified xsi:type="dcterms:W3CDTF">2019-02-18T16:23:00Z</dcterms:modified>
</cp:coreProperties>
</file>