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D97EF9" w:rsidP="00FA0355">
      <w:pPr>
        <w:spacing w:before="240" w:after="0" w:line="240" w:lineRule="auto"/>
        <w:rPr>
          <w:b/>
          <w:color w:val="7030A0"/>
          <w:sz w:val="24"/>
        </w:rPr>
      </w:pPr>
      <w:r>
        <w:rPr>
          <w:b/>
          <w:color w:val="7030A0"/>
          <w:sz w:val="24"/>
        </w:rPr>
        <w:t>Landfill Non-Hazardous</w:t>
      </w:r>
    </w:p>
    <w:p w:rsidR="00A6136C" w:rsidRDefault="00A6136C" w:rsidP="00FA0355">
      <w:pPr>
        <w:spacing w:after="0" w:line="240" w:lineRule="auto"/>
        <w:rPr>
          <w:b/>
        </w:rPr>
      </w:pPr>
      <w:r>
        <w:rPr>
          <w:b/>
        </w:rPr>
        <w:t>Content Changes 2016-2018 Revision Guide</w:t>
      </w:r>
    </w:p>
    <w:p w:rsidR="00310536" w:rsidRPr="00310536" w:rsidRDefault="00310536" w:rsidP="00310536">
      <w:pPr>
        <w:spacing w:after="0"/>
        <w:rPr>
          <w:rFonts w:ascii="Calibri" w:eastAsia="Calibri" w:hAnsi="Calibri" w:cs="Times New Roman"/>
          <w:b/>
          <w:i/>
        </w:rPr>
      </w:pPr>
      <w:r w:rsidRPr="00310536">
        <w:rPr>
          <w:rFonts w:ascii="Calibri" w:eastAsia="Calibri" w:hAnsi="Calibri" w:cs="Times New Roman"/>
          <w:b/>
          <w:i/>
        </w:rPr>
        <w:t xml:space="preserve">All page numbers refer to the 2016-2018 Revision Guides with red covers. </w:t>
      </w:r>
    </w:p>
    <w:p w:rsidR="00310536" w:rsidRDefault="00310536" w:rsidP="00FA0355">
      <w:pPr>
        <w:spacing w:after="0" w:line="240" w:lineRule="auto"/>
        <w:rPr>
          <w:b/>
        </w:rPr>
      </w:pPr>
    </w:p>
    <w:p w:rsidR="009457DE" w:rsidRDefault="009457DE" w:rsidP="00FA0355">
      <w:pPr>
        <w:spacing w:line="240" w:lineRule="auto"/>
        <w:rPr>
          <w:i/>
          <w:color w:val="7030A0"/>
        </w:rPr>
      </w:pPr>
      <w:r>
        <w:rPr>
          <w:i/>
          <w:color w:val="7030A0"/>
        </w:rPr>
        <w:t>Section 1: Financial Provision, page 16</w:t>
      </w:r>
    </w:p>
    <w:p w:rsidR="00D97EF9" w:rsidRDefault="00D97EF9" w:rsidP="00FA0355">
      <w:pPr>
        <w:spacing w:line="240" w:lineRule="auto"/>
        <w:rPr>
          <w:i/>
          <w:color w:val="7030A0"/>
        </w:rPr>
      </w:pPr>
      <w:r>
        <w:rPr>
          <w:i/>
          <w:color w:val="7030A0"/>
        </w:rPr>
        <w:t xml:space="preserve">NEW Learning Outcome 1.6: </w:t>
      </w:r>
      <w:r w:rsidR="009457DE">
        <w:rPr>
          <w:i/>
          <w:color w:val="7030A0"/>
        </w:rPr>
        <w:t>Know t</w:t>
      </w:r>
      <w:r>
        <w:rPr>
          <w:i/>
          <w:color w:val="7030A0"/>
        </w:rPr>
        <w:t>echnical competence requirements for non-hazardous waste landfills.</w:t>
      </w:r>
    </w:p>
    <w:p w:rsidR="00D97EF9" w:rsidRDefault="00D97EF9" w:rsidP="00FA0355">
      <w:pPr>
        <w:spacing w:line="240" w:lineRule="auto"/>
      </w:pPr>
      <w:r w:rsidRPr="00D97EF9">
        <w:t>Waste operators need to outline in their written management system how that plan to demonstrate technical competence. This should include reference to which approved industry scheme they will use.</w:t>
      </w:r>
    </w:p>
    <w:p w:rsidR="00D97EF9" w:rsidRPr="00D97EF9" w:rsidRDefault="00D97EF9" w:rsidP="00FA0355">
      <w:pPr>
        <w:spacing w:line="240" w:lineRule="auto"/>
      </w:pPr>
      <w:r w:rsidRPr="00D97EF9">
        <w:t xml:space="preserve">If landfill operators plan to comply with the CIWM/WAMITAB Operator Competence </w:t>
      </w:r>
      <w:r w:rsidR="00B96ACC" w:rsidRPr="00D97EF9">
        <w:t>Scheme,</w:t>
      </w:r>
      <w:r w:rsidRPr="00D97EF9">
        <w:t xml:space="preserve"> they must remember that there is no 12 month grace period for new permit applications. Furthermore, when a landfill operator achieves their primary competence qualification, they must take the Continuing Competence test every two years to maintain their knowledge.</w:t>
      </w:r>
    </w:p>
    <w:p w:rsidR="00D97EF9" w:rsidRDefault="00D97EF9" w:rsidP="00FA0355">
      <w:pPr>
        <w:spacing w:line="240" w:lineRule="auto"/>
        <w:rPr>
          <w:i/>
          <w:color w:val="7030A0"/>
        </w:rPr>
      </w:pPr>
      <w:r>
        <w:rPr>
          <w:i/>
          <w:color w:val="7030A0"/>
        </w:rPr>
        <w:t>NEW Learning Outcome 3.6: Know what paperwork is required for accepting non-hazardous waste to landfill.</w:t>
      </w:r>
    </w:p>
    <w:p w:rsidR="00D97EF9" w:rsidRDefault="00D97EF9" w:rsidP="00FA0355">
      <w:pPr>
        <w:spacing w:line="240" w:lineRule="auto"/>
      </w:pPr>
      <w:r w:rsidRPr="00D97EF9">
        <w:t>Non-hazardous waste loads must only be accepted on site if they are accompanied by a Waste Transfer Note or a written document with the same information. A Waste Transfer Note includes a description of the waste, the current holder of the wastes details and the person collecting the wastes details. Copies of the waste transfer notes should be kept for two years.</w:t>
      </w:r>
    </w:p>
    <w:p w:rsidR="00D97EF9" w:rsidRDefault="00D97EF9" w:rsidP="00FA0355">
      <w:pPr>
        <w:spacing w:line="240" w:lineRule="auto"/>
        <w:rPr>
          <w:i/>
          <w:color w:val="7030A0"/>
        </w:rPr>
      </w:pPr>
      <w:r>
        <w:rPr>
          <w:i/>
          <w:color w:val="7030A0"/>
        </w:rPr>
        <w:t>NEW Learning Outcome 4.8: Know the procedure for dealing with deep and shallow fires.</w:t>
      </w:r>
    </w:p>
    <w:p w:rsidR="00D97EF9" w:rsidRPr="00FA0355" w:rsidRDefault="00D97EF9" w:rsidP="00FA0355">
      <w:pPr>
        <w:spacing w:line="240" w:lineRule="auto"/>
        <w:rPr>
          <w:i/>
          <w:color w:val="7030A0"/>
          <w:sz w:val="24"/>
        </w:rPr>
      </w:pPr>
      <w:r w:rsidRPr="00D97EF9">
        <w:t>Operators can deal with a hot spot by switching off or turning down their systems for extracting gas from the landfill in case these systems are drawing air into the landfill and thereby feeding oxygen to the hot spot.</w:t>
      </w:r>
    </w:p>
    <w:p w:rsidR="00D97EF9" w:rsidRDefault="00D97EF9" w:rsidP="00FA0355">
      <w:pPr>
        <w:spacing w:line="240" w:lineRule="auto"/>
        <w:rPr>
          <w:i/>
          <w:color w:val="7030A0"/>
        </w:rPr>
      </w:pPr>
      <w:r>
        <w:rPr>
          <w:i/>
          <w:color w:val="7030A0"/>
        </w:rPr>
        <w:t>Section 5: Levels, page 36</w:t>
      </w:r>
    </w:p>
    <w:p w:rsidR="00AC2D40" w:rsidRDefault="00AC2D40" w:rsidP="00FA0355">
      <w:pPr>
        <w:spacing w:line="240" w:lineRule="auto"/>
      </w:pPr>
    </w:p>
    <w:p w:rsidR="00FA0355" w:rsidRDefault="00D97EF9" w:rsidP="00FA0355">
      <w:pPr>
        <w:spacing w:line="240" w:lineRule="auto"/>
      </w:pPr>
      <w:r w:rsidRPr="000222DC">
        <w:t>On site</w:t>
      </w:r>
      <w:r>
        <w:t xml:space="preserve"> </w:t>
      </w:r>
      <w:r w:rsidR="00FA0355">
        <w:t xml:space="preserve">leachate </w:t>
      </w:r>
      <w:r>
        <w:t>sampling, verification and compliance testing should take place to confirm:</w:t>
      </w:r>
    </w:p>
    <w:p w:rsidR="00D97EF9" w:rsidRDefault="00D97EF9" w:rsidP="00FA0355">
      <w:pPr>
        <w:pStyle w:val="ListParagraph"/>
        <w:numPr>
          <w:ilvl w:val="0"/>
          <w:numId w:val="19"/>
        </w:numPr>
        <w:spacing w:line="240" w:lineRule="auto"/>
      </w:pPr>
      <w:r>
        <w:t>The description of the leachate.</w:t>
      </w:r>
    </w:p>
    <w:p w:rsidR="00D97EF9" w:rsidRDefault="00D97EF9" w:rsidP="00FA0355">
      <w:pPr>
        <w:pStyle w:val="ListParagraph"/>
        <w:numPr>
          <w:ilvl w:val="0"/>
          <w:numId w:val="19"/>
        </w:numPr>
        <w:spacing w:line="240" w:lineRule="auto"/>
      </w:pPr>
      <w:r>
        <w:t>Consistency with pre-acceptance information.</w:t>
      </w:r>
    </w:p>
    <w:p w:rsidR="00D97EF9" w:rsidRPr="000222DC" w:rsidRDefault="00D97EF9" w:rsidP="00FA0355">
      <w:pPr>
        <w:pStyle w:val="ListParagraph"/>
        <w:numPr>
          <w:ilvl w:val="0"/>
          <w:numId w:val="19"/>
        </w:numPr>
        <w:spacing w:line="240" w:lineRule="auto"/>
      </w:pPr>
      <w:r>
        <w:t>Compliance with permit.</w:t>
      </w:r>
    </w:p>
    <w:p w:rsidR="00D97EF9" w:rsidRPr="00D97EF9" w:rsidRDefault="00D97EF9" w:rsidP="00FA0355">
      <w:pPr>
        <w:spacing w:line="240" w:lineRule="auto"/>
        <w:rPr>
          <w:i/>
          <w:color w:val="7030A0"/>
        </w:rPr>
      </w:pPr>
      <w:r w:rsidRPr="00D97EF9">
        <w:rPr>
          <w:i/>
          <w:color w:val="7030A0"/>
        </w:rPr>
        <w:t xml:space="preserve">Section </w:t>
      </w:r>
      <w:r>
        <w:rPr>
          <w:i/>
          <w:color w:val="7030A0"/>
        </w:rPr>
        <w:t>7</w:t>
      </w:r>
      <w:r w:rsidRPr="00D97EF9">
        <w:rPr>
          <w:i/>
          <w:color w:val="7030A0"/>
        </w:rPr>
        <w:t xml:space="preserve">: </w:t>
      </w:r>
      <w:r w:rsidR="003E0D39">
        <w:rPr>
          <w:i/>
          <w:color w:val="7030A0"/>
        </w:rPr>
        <w:t xml:space="preserve">Settlement and </w:t>
      </w:r>
      <w:r>
        <w:rPr>
          <w:i/>
          <w:color w:val="7030A0"/>
        </w:rPr>
        <w:t>Compaction</w:t>
      </w:r>
      <w:r w:rsidRPr="00D97EF9">
        <w:rPr>
          <w:i/>
          <w:color w:val="7030A0"/>
        </w:rPr>
        <w:t xml:space="preserve">, page </w:t>
      </w:r>
      <w:r>
        <w:rPr>
          <w:i/>
          <w:color w:val="7030A0"/>
        </w:rPr>
        <w:t>50</w:t>
      </w:r>
    </w:p>
    <w:p w:rsidR="00D97EF9" w:rsidRPr="00AC13DA" w:rsidRDefault="00D97EF9" w:rsidP="00FA0355">
      <w:pPr>
        <w:spacing w:line="240" w:lineRule="auto"/>
        <w:rPr>
          <w:i/>
        </w:rPr>
      </w:pPr>
      <w:r>
        <w:rPr>
          <w:b/>
          <w:i/>
        </w:rPr>
        <w:t xml:space="preserve">Settlement: </w:t>
      </w:r>
      <w:r>
        <w:rPr>
          <w:i/>
        </w:rPr>
        <w:t>the amount by which a landfill surface sinks below its original level</w:t>
      </w:r>
      <w:r w:rsidR="00C07409">
        <w:rPr>
          <w:i/>
        </w:rPr>
        <w:t>,</w:t>
      </w:r>
      <w:r>
        <w:rPr>
          <w:i/>
        </w:rPr>
        <w:t xml:space="preserve"> due to compaction by its own weight and degradation of waste. This can impact the profile of the final landform.</w:t>
      </w:r>
    </w:p>
    <w:p w:rsidR="00D97EF9" w:rsidRDefault="00D97EF9" w:rsidP="00FA0355">
      <w:pPr>
        <w:spacing w:line="240" w:lineRule="auto"/>
        <w:rPr>
          <w:i/>
          <w:color w:val="7030A0"/>
        </w:rPr>
      </w:pPr>
      <w:r w:rsidRPr="00D97EF9">
        <w:rPr>
          <w:i/>
          <w:color w:val="7030A0"/>
        </w:rPr>
        <w:t xml:space="preserve">Section </w:t>
      </w:r>
      <w:r>
        <w:rPr>
          <w:i/>
          <w:color w:val="7030A0"/>
        </w:rPr>
        <w:t>9</w:t>
      </w:r>
      <w:r w:rsidRPr="00D97EF9">
        <w:rPr>
          <w:i/>
          <w:color w:val="7030A0"/>
        </w:rPr>
        <w:t xml:space="preserve">: </w:t>
      </w:r>
      <w:r>
        <w:rPr>
          <w:i/>
          <w:color w:val="7030A0"/>
        </w:rPr>
        <w:t>Records, Submissions and Notifications</w:t>
      </w:r>
      <w:r w:rsidRPr="00D97EF9">
        <w:rPr>
          <w:i/>
          <w:color w:val="7030A0"/>
        </w:rPr>
        <w:t xml:space="preserve">, page </w:t>
      </w:r>
      <w:r>
        <w:rPr>
          <w:i/>
          <w:color w:val="7030A0"/>
        </w:rPr>
        <w:t>59</w:t>
      </w:r>
    </w:p>
    <w:p w:rsidR="00D97EF9" w:rsidRDefault="00D97EF9" w:rsidP="00FA0355">
      <w:pPr>
        <w:pStyle w:val="ListParagraph"/>
        <w:numPr>
          <w:ilvl w:val="0"/>
          <w:numId w:val="20"/>
        </w:numPr>
        <w:spacing w:line="240" w:lineRule="auto"/>
      </w:pPr>
      <w:r>
        <w:t>Operators are responsible for ensuring that hazardous waste produced or handled by businesses causes no harm or damage.</w:t>
      </w:r>
    </w:p>
    <w:p w:rsidR="00D97EF9" w:rsidRPr="00A272E3" w:rsidRDefault="00D97EF9" w:rsidP="00FA0355">
      <w:pPr>
        <w:pStyle w:val="ListParagraph"/>
        <w:numPr>
          <w:ilvl w:val="0"/>
          <w:numId w:val="20"/>
        </w:numPr>
        <w:spacing w:line="240" w:lineRule="auto"/>
      </w:pPr>
      <w:r>
        <w:t>Consignees returns must be send to the environmental regulator and waste producer or holder every quarter.</w:t>
      </w:r>
    </w:p>
    <w:p w:rsidR="00D97EF9" w:rsidRDefault="00D97EF9" w:rsidP="00FA0355">
      <w:pPr>
        <w:spacing w:line="240" w:lineRule="auto"/>
        <w:rPr>
          <w:i/>
          <w:color w:val="7030A0"/>
        </w:rPr>
      </w:pPr>
      <w:r w:rsidRPr="00D97EF9">
        <w:rPr>
          <w:i/>
          <w:color w:val="7030A0"/>
        </w:rPr>
        <w:t xml:space="preserve">Section </w:t>
      </w:r>
      <w:r>
        <w:rPr>
          <w:i/>
          <w:color w:val="7030A0"/>
        </w:rPr>
        <w:t>11</w:t>
      </w:r>
      <w:r w:rsidRPr="00D97EF9">
        <w:rPr>
          <w:i/>
          <w:color w:val="7030A0"/>
        </w:rPr>
        <w:t xml:space="preserve">: </w:t>
      </w:r>
      <w:r>
        <w:rPr>
          <w:i/>
          <w:color w:val="7030A0"/>
        </w:rPr>
        <w:t>Ignition Sources</w:t>
      </w:r>
      <w:r w:rsidRPr="00D97EF9">
        <w:rPr>
          <w:i/>
          <w:color w:val="7030A0"/>
        </w:rPr>
        <w:t xml:space="preserve">, page </w:t>
      </w:r>
      <w:r>
        <w:rPr>
          <w:i/>
          <w:color w:val="7030A0"/>
        </w:rPr>
        <w:t>68</w:t>
      </w:r>
    </w:p>
    <w:p w:rsidR="00D97EF9" w:rsidRPr="006367C0" w:rsidRDefault="00D97EF9" w:rsidP="00FA0355">
      <w:pPr>
        <w:spacing w:line="240" w:lineRule="auto"/>
      </w:pPr>
      <w:r>
        <w:t>One of the</w:t>
      </w:r>
      <w:r w:rsidRPr="00EB5302">
        <w:t xml:space="preserve"> control measures </w:t>
      </w:r>
      <w:r>
        <w:t xml:space="preserve">that </w:t>
      </w:r>
      <w:r w:rsidRPr="00EB5302">
        <w:t xml:space="preserve">should be taken to reduce the </w:t>
      </w:r>
      <w:r>
        <w:t>risk of fire on a landfill site is that they should operate a permit to work system for hot work.</w:t>
      </w:r>
    </w:p>
    <w:p w:rsidR="00D97EF9" w:rsidRDefault="00D97EF9" w:rsidP="00FA0355">
      <w:pPr>
        <w:spacing w:line="240" w:lineRule="auto"/>
        <w:rPr>
          <w:i/>
          <w:color w:val="7030A0"/>
        </w:rPr>
      </w:pPr>
      <w:r w:rsidRPr="00D97EF9">
        <w:rPr>
          <w:i/>
          <w:color w:val="7030A0"/>
        </w:rPr>
        <w:t xml:space="preserve">Section </w:t>
      </w:r>
      <w:r>
        <w:rPr>
          <w:i/>
          <w:color w:val="7030A0"/>
        </w:rPr>
        <w:t>11</w:t>
      </w:r>
      <w:r w:rsidRPr="00D97EF9">
        <w:rPr>
          <w:i/>
          <w:color w:val="7030A0"/>
        </w:rPr>
        <w:t xml:space="preserve">: </w:t>
      </w:r>
      <w:r>
        <w:rPr>
          <w:i/>
          <w:color w:val="7030A0"/>
        </w:rPr>
        <w:t>Training</w:t>
      </w:r>
      <w:r w:rsidRPr="00D97EF9">
        <w:rPr>
          <w:i/>
          <w:color w:val="7030A0"/>
        </w:rPr>
        <w:t xml:space="preserve">, page </w:t>
      </w:r>
      <w:r>
        <w:rPr>
          <w:i/>
          <w:color w:val="7030A0"/>
        </w:rPr>
        <w:t>69</w:t>
      </w:r>
    </w:p>
    <w:p w:rsidR="00FA0355" w:rsidRDefault="00D97EF9" w:rsidP="00FA0355">
      <w:pPr>
        <w:spacing w:line="240" w:lineRule="auto"/>
      </w:pPr>
      <w:r w:rsidRPr="00EB5302">
        <w:t>DSEAR requires information</w:t>
      </w:r>
      <w:r>
        <w:t>, training and instruction</w:t>
      </w:r>
      <w:r w:rsidRPr="00EB5302">
        <w:t xml:space="preserve"> on </w:t>
      </w:r>
      <w:r>
        <w:t xml:space="preserve">emergency arrangements as well as </w:t>
      </w:r>
      <w:r w:rsidRPr="00EB5302">
        <w:t xml:space="preserve">the hazardous properties of all flammable liquids, vapours and dusts </w:t>
      </w:r>
      <w:r>
        <w:t>to</w:t>
      </w:r>
      <w:r w:rsidRPr="00EB5302">
        <w:t xml:space="preserve"> be made available at the workplace</w:t>
      </w:r>
      <w:r>
        <w:t xml:space="preserve"> for employees and non-employees</w:t>
      </w:r>
      <w:r w:rsidRPr="00EB5302">
        <w:t xml:space="preserve">. </w:t>
      </w:r>
    </w:p>
    <w:p w:rsidR="004E04DE" w:rsidRDefault="004E04DE" w:rsidP="00FA0355">
      <w:pPr>
        <w:spacing w:line="240" w:lineRule="auto"/>
        <w:rPr>
          <w:i/>
          <w:color w:val="7030A0"/>
        </w:rPr>
      </w:pPr>
    </w:p>
    <w:p w:rsidR="004E04DE" w:rsidRDefault="004E04DE" w:rsidP="00FA0355">
      <w:pPr>
        <w:spacing w:line="240" w:lineRule="auto"/>
        <w:rPr>
          <w:i/>
          <w:color w:val="7030A0"/>
        </w:rPr>
      </w:pPr>
    </w:p>
    <w:p w:rsidR="004E04DE" w:rsidRDefault="004E04DE" w:rsidP="00FA0355">
      <w:pPr>
        <w:spacing w:line="240" w:lineRule="auto"/>
        <w:rPr>
          <w:i/>
          <w:color w:val="7030A0"/>
        </w:rPr>
      </w:pPr>
    </w:p>
    <w:p w:rsidR="004E04DE" w:rsidRDefault="004E04DE" w:rsidP="00FA0355">
      <w:pPr>
        <w:spacing w:line="240" w:lineRule="auto"/>
        <w:rPr>
          <w:i/>
          <w:color w:val="7030A0"/>
        </w:rPr>
      </w:pPr>
    </w:p>
    <w:p w:rsidR="004E04DE" w:rsidRDefault="004E04DE" w:rsidP="00FA0355">
      <w:pPr>
        <w:spacing w:line="240" w:lineRule="auto"/>
        <w:rPr>
          <w:i/>
          <w:color w:val="7030A0"/>
        </w:rPr>
      </w:pPr>
    </w:p>
    <w:p w:rsidR="00FA0355" w:rsidRDefault="00FA0355" w:rsidP="00FA0355">
      <w:pPr>
        <w:spacing w:line="240" w:lineRule="auto"/>
        <w:rPr>
          <w:i/>
          <w:color w:val="7030A0"/>
        </w:rPr>
      </w:pPr>
      <w:bookmarkStart w:id="0" w:name="_GoBack"/>
      <w:bookmarkEnd w:id="0"/>
      <w:r w:rsidRPr="00D97EF9">
        <w:rPr>
          <w:i/>
          <w:color w:val="7030A0"/>
        </w:rPr>
        <w:t xml:space="preserve">Section </w:t>
      </w:r>
      <w:r>
        <w:rPr>
          <w:i/>
          <w:color w:val="7030A0"/>
        </w:rPr>
        <w:t>11</w:t>
      </w:r>
      <w:r w:rsidRPr="00D97EF9">
        <w:rPr>
          <w:i/>
          <w:color w:val="7030A0"/>
        </w:rPr>
        <w:t xml:space="preserve">: </w:t>
      </w:r>
      <w:r>
        <w:rPr>
          <w:i/>
          <w:color w:val="7030A0"/>
        </w:rPr>
        <w:t>Body Vibration</w:t>
      </w:r>
      <w:r w:rsidRPr="00D97EF9">
        <w:rPr>
          <w:i/>
          <w:color w:val="7030A0"/>
        </w:rPr>
        <w:t xml:space="preserve">, page </w:t>
      </w:r>
      <w:r>
        <w:rPr>
          <w:i/>
          <w:color w:val="7030A0"/>
        </w:rPr>
        <w:t>70</w:t>
      </w:r>
    </w:p>
    <w:p w:rsidR="00FA0355" w:rsidRDefault="00FA0355" w:rsidP="00FA0355">
      <w:pPr>
        <w:spacing w:line="240" w:lineRule="auto"/>
        <w:rPr>
          <w:color w:val="000000" w:themeColor="text1"/>
        </w:rPr>
      </w:pPr>
      <w:r>
        <w:rPr>
          <w:color w:val="000000" w:themeColor="text1"/>
        </w:rPr>
        <w:t>Exposure to vibration should be reduced to as low a level as is reasonably practicable by:</w:t>
      </w:r>
    </w:p>
    <w:p w:rsidR="00FA0355" w:rsidRDefault="00FA0355" w:rsidP="00FA0355">
      <w:pPr>
        <w:pStyle w:val="ListParagraph"/>
        <w:numPr>
          <w:ilvl w:val="0"/>
          <w:numId w:val="22"/>
        </w:numPr>
        <w:spacing w:line="240" w:lineRule="auto"/>
        <w:rPr>
          <w:color w:val="000000" w:themeColor="text1"/>
        </w:rPr>
      </w:pPr>
      <w:r>
        <w:rPr>
          <w:color w:val="000000" w:themeColor="text1"/>
        </w:rPr>
        <w:t>Introducing control measures (e.g. different tyres or suspended seats to minimise exposure) whenever an employee’s daily exposure to vibration is likely to exceed the exposure action value.</w:t>
      </w:r>
    </w:p>
    <w:p w:rsidR="00FA0355" w:rsidRPr="006B3B94" w:rsidRDefault="00FA0355" w:rsidP="00FA0355">
      <w:pPr>
        <w:pStyle w:val="ListParagraph"/>
        <w:numPr>
          <w:ilvl w:val="0"/>
          <w:numId w:val="22"/>
        </w:numPr>
        <w:spacing w:line="240" w:lineRule="auto"/>
        <w:rPr>
          <w:color w:val="000000" w:themeColor="text1"/>
        </w:rPr>
      </w:pPr>
      <w:r>
        <w:rPr>
          <w:color w:val="000000" w:themeColor="text1"/>
        </w:rPr>
        <w:t>Not exposing employees above the exposure limit value.</w:t>
      </w: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4E04DE" w:rsidRDefault="004E04DE" w:rsidP="00E90FDC">
      <w:pPr>
        <w:spacing w:after="0"/>
        <w:rPr>
          <w:i/>
          <w:color w:val="7030A0"/>
        </w:rPr>
      </w:pPr>
    </w:p>
    <w:p w:rsidR="00C02BF3" w:rsidRPr="00C02BF3" w:rsidRDefault="00C02BF3" w:rsidP="00E90FDC">
      <w:pPr>
        <w:spacing w:after="0"/>
        <w:rPr>
          <w:i/>
          <w:color w:val="7030A0"/>
        </w:rPr>
      </w:pPr>
      <w:r>
        <w:rPr>
          <w:i/>
          <w:color w:val="7030A0"/>
        </w:rPr>
        <w:lastRenderedPageBreak/>
        <w:t>Revised List of Sources</w:t>
      </w:r>
    </w:p>
    <w:tbl>
      <w:tblPr>
        <w:tblStyle w:val="TableGrid"/>
        <w:tblW w:w="0" w:type="auto"/>
        <w:tblLayout w:type="fixed"/>
        <w:tblLook w:val="04A0" w:firstRow="1" w:lastRow="0" w:firstColumn="1" w:lastColumn="0" w:noHBand="0" w:noVBand="1"/>
      </w:tblPr>
      <w:tblGrid>
        <w:gridCol w:w="959"/>
        <w:gridCol w:w="3416"/>
      </w:tblGrid>
      <w:tr w:rsidR="00FA0355" w:rsidRPr="00E90FDC" w:rsidTr="00E90FDC">
        <w:tc>
          <w:tcPr>
            <w:tcW w:w="959" w:type="dxa"/>
            <w:shd w:val="clear" w:color="auto" w:fill="7030A0"/>
          </w:tcPr>
          <w:p w:rsidR="00FA0355" w:rsidRPr="00E90FDC" w:rsidRDefault="00FA0355" w:rsidP="00FA0355">
            <w:pPr>
              <w:spacing w:after="60"/>
              <w:rPr>
                <w:b/>
                <w:color w:val="FFFFFF" w:themeColor="background1"/>
                <w:sz w:val="18"/>
                <w:szCs w:val="18"/>
              </w:rPr>
            </w:pPr>
            <w:r w:rsidRPr="00E90FDC">
              <w:rPr>
                <w:b/>
                <w:color w:val="FFFFFF" w:themeColor="background1"/>
                <w:sz w:val="18"/>
                <w:szCs w:val="18"/>
              </w:rPr>
              <w:t>Page</w:t>
            </w:r>
          </w:p>
        </w:tc>
        <w:tc>
          <w:tcPr>
            <w:tcW w:w="3416" w:type="dxa"/>
            <w:shd w:val="clear" w:color="auto" w:fill="7030A0"/>
          </w:tcPr>
          <w:p w:rsidR="00FA0355" w:rsidRPr="00E90FDC" w:rsidRDefault="00FA0355" w:rsidP="00FA0355">
            <w:pPr>
              <w:spacing w:after="60"/>
              <w:rPr>
                <w:b/>
                <w:color w:val="FFFFFF" w:themeColor="background1"/>
                <w:sz w:val="18"/>
                <w:szCs w:val="18"/>
              </w:rPr>
            </w:pPr>
            <w:r w:rsidRPr="00E90FDC">
              <w:rPr>
                <w:b/>
                <w:color w:val="FFFFFF" w:themeColor="background1"/>
                <w:sz w:val="18"/>
                <w:szCs w:val="18"/>
              </w:rPr>
              <w:t>Source</w:t>
            </w:r>
          </w:p>
        </w:tc>
      </w:tr>
      <w:tr w:rsidR="00FA0355" w:rsidRPr="00E90FDC" w:rsidTr="00E90FDC">
        <w:tc>
          <w:tcPr>
            <w:tcW w:w="959" w:type="dxa"/>
          </w:tcPr>
          <w:p w:rsidR="00FA0355" w:rsidRPr="00E90FDC" w:rsidRDefault="00FA0355" w:rsidP="00FA0355">
            <w:pPr>
              <w:rPr>
                <w:sz w:val="18"/>
                <w:szCs w:val="18"/>
              </w:rPr>
            </w:pPr>
            <w:r w:rsidRPr="00E90FDC">
              <w:rPr>
                <w:sz w:val="18"/>
                <w:szCs w:val="18"/>
              </w:rPr>
              <w:t>14,15,16,19,22,23,29,37,41,42,43,44,50,51,63,66,68</w:t>
            </w:r>
          </w:p>
        </w:tc>
        <w:tc>
          <w:tcPr>
            <w:tcW w:w="3416" w:type="dxa"/>
          </w:tcPr>
          <w:p w:rsidR="00FA0355" w:rsidRPr="00E90FDC" w:rsidRDefault="007613F6" w:rsidP="00FA0355">
            <w:pPr>
              <w:rPr>
                <w:sz w:val="18"/>
                <w:szCs w:val="18"/>
              </w:rPr>
            </w:pPr>
            <w:hyperlink r:id="rId9" w:history="1">
              <w:r w:rsidR="00FA0355" w:rsidRPr="00E90FDC">
                <w:rPr>
                  <w:rStyle w:val="Hyperlink"/>
                  <w:sz w:val="18"/>
                  <w:szCs w:val="18"/>
                </w:rPr>
                <w:t>Environment Agency (2009) Landfill: How to comply with your environmental permit</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16</w:t>
            </w:r>
          </w:p>
        </w:tc>
        <w:tc>
          <w:tcPr>
            <w:tcW w:w="3416" w:type="dxa"/>
          </w:tcPr>
          <w:p w:rsidR="00FA0355" w:rsidRPr="00E90FDC" w:rsidRDefault="007613F6" w:rsidP="00FA0355">
            <w:pPr>
              <w:rPr>
                <w:color w:val="943634" w:themeColor="accent2" w:themeShade="BF"/>
                <w:sz w:val="18"/>
                <w:szCs w:val="18"/>
              </w:rPr>
            </w:pPr>
            <w:hyperlink r:id="rId10" w:history="1">
              <w:r w:rsidR="00FA0355" w:rsidRPr="00E90FDC">
                <w:rPr>
                  <w:rStyle w:val="Hyperlink"/>
                  <w:sz w:val="18"/>
                  <w:szCs w:val="18"/>
                </w:rPr>
                <w:t>Environment Agency (2014) Financial provision for landfill</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16</w:t>
            </w:r>
          </w:p>
        </w:tc>
        <w:tc>
          <w:tcPr>
            <w:tcW w:w="3416" w:type="dxa"/>
          </w:tcPr>
          <w:p w:rsidR="00FA0355" w:rsidRPr="00E90FDC" w:rsidRDefault="007613F6" w:rsidP="00FA0355">
            <w:pPr>
              <w:rPr>
                <w:color w:val="943634" w:themeColor="accent2" w:themeShade="BF"/>
                <w:sz w:val="18"/>
                <w:szCs w:val="18"/>
              </w:rPr>
            </w:pPr>
            <w:hyperlink r:id="rId11" w:history="1">
              <w:r w:rsidR="00FA0355" w:rsidRPr="00E90FDC">
                <w:rPr>
                  <w:rStyle w:val="Hyperlink"/>
                  <w:sz w:val="18"/>
                  <w:szCs w:val="18"/>
                </w:rPr>
                <w:t>Natural Resources Wales (2014) LFD1 Understanding the landfill directive</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16</w:t>
            </w:r>
          </w:p>
        </w:tc>
        <w:tc>
          <w:tcPr>
            <w:tcW w:w="3416" w:type="dxa"/>
          </w:tcPr>
          <w:p w:rsidR="00FA0355" w:rsidRPr="00E90FDC" w:rsidRDefault="007613F6" w:rsidP="00FA0355">
            <w:pPr>
              <w:rPr>
                <w:color w:val="943634" w:themeColor="accent2" w:themeShade="BF"/>
                <w:sz w:val="18"/>
                <w:szCs w:val="18"/>
              </w:rPr>
            </w:pPr>
            <w:hyperlink r:id="rId12" w:history="1">
              <w:r w:rsidR="00FA0355" w:rsidRPr="00E90FDC">
                <w:rPr>
                  <w:rStyle w:val="Hyperlink"/>
                  <w:sz w:val="18"/>
                  <w:szCs w:val="18"/>
                </w:rPr>
                <w:t>WAMITAB (2018) CIWM/WAMITAB Operator Competence Scheme</w:t>
              </w:r>
            </w:hyperlink>
            <w:r w:rsidR="00FA0355" w:rsidRPr="00E90FDC">
              <w:rPr>
                <w:sz w:val="18"/>
                <w:szCs w:val="18"/>
              </w:rPr>
              <w:t xml:space="preserve"> </w:t>
            </w:r>
          </w:p>
        </w:tc>
      </w:tr>
      <w:tr w:rsidR="00FA0355" w:rsidRPr="00E90FDC" w:rsidTr="00E90FDC">
        <w:tc>
          <w:tcPr>
            <w:tcW w:w="959" w:type="dxa"/>
          </w:tcPr>
          <w:p w:rsidR="00FA0355" w:rsidRPr="00E90FDC" w:rsidRDefault="00FA0355" w:rsidP="00FA0355">
            <w:pPr>
              <w:rPr>
                <w:sz w:val="18"/>
                <w:szCs w:val="18"/>
              </w:rPr>
            </w:pPr>
            <w:r w:rsidRPr="00E90FDC">
              <w:rPr>
                <w:sz w:val="18"/>
                <w:szCs w:val="18"/>
              </w:rPr>
              <w:t>19,47,52</w:t>
            </w:r>
          </w:p>
        </w:tc>
        <w:tc>
          <w:tcPr>
            <w:tcW w:w="3416" w:type="dxa"/>
          </w:tcPr>
          <w:p w:rsidR="00FA0355" w:rsidRPr="00E90FDC" w:rsidRDefault="007613F6" w:rsidP="00FA0355">
            <w:pPr>
              <w:rPr>
                <w:sz w:val="18"/>
                <w:szCs w:val="18"/>
              </w:rPr>
            </w:pPr>
            <w:hyperlink r:id="rId13" w:history="1">
              <w:r w:rsidR="00FA0355" w:rsidRPr="00E90FDC">
                <w:rPr>
                  <w:rStyle w:val="Hyperlink"/>
                  <w:sz w:val="18"/>
                  <w:szCs w:val="18"/>
                </w:rPr>
                <w:t xml:space="preserve">Environment Agency (2014) Using </w:t>
              </w:r>
              <w:proofErr w:type="spellStart"/>
              <w:r w:rsidR="00FA0355" w:rsidRPr="00E90FDC">
                <w:rPr>
                  <w:rStyle w:val="Hyperlink"/>
                  <w:sz w:val="18"/>
                  <w:szCs w:val="18"/>
                </w:rPr>
                <w:t>Geomembranes</w:t>
              </w:r>
              <w:proofErr w:type="spellEnd"/>
              <w:r w:rsidR="00FA0355" w:rsidRPr="00E90FDC">
                <w:rPr>
                  <w:rStyle w:val="Hyperlink"/>
                  <w:sz w:val="18"/>
                  <w:szCs w:val="18"/>
                </w:rPr>
                <w:t xml:space="preserve"> in landfill engineering</w:t>
              </w:r>
            </w:hyperlink>
            <w:r w:rsidR="00FA0355" w:rsidRPr="00E90FDC">
              <w:rPr>
                <w:color w:val="7030A0"/>
                <w:sz w:val="18"/>
                <w:szCs w:val="18"/>
              </w:rPr>
              <w:t xml:space="preserve"> </w:t>
            </w:r>
          </w:p>
        </w:tc>
      </w:tr>
      <w:tr w:rsidR="00FA0355" w:rsidRPr="00E90FDC" w:rsidTr="00E90FDC">
        <w:tc>
          <w:tcPr>
            <w:tcW w:w="959" w:type="dxa"/>
          </w:tcPr>
          <w:p w:rsidR="00FA0355" w:rsidRPr="00E90FDC" w:rsidRDefault="00FA0355" w:rsidP="00FA0355">
            <w:pPr>
              <w:rPr>
                <w:sz w:val="18"/>
                <w:szCs w:val="18"/>
              </w:rPr>
            </w:pPr>
            <w:r w:rsidRPr="00E90FDC">
              <w:rPr>
                <w:sz w:val="18"/>
                <w:szCs w:val="18"/>
              </w:rPr>
              <w:t>22</w:t>
            </w:r>
          </w:p>
        </w:tc>
        <w:tc>
          <w:tcPr>
            <w:tcW w:w="3416" w:type="dxa"/>
          </w:tcPr>
          <w:p w:rsidR="00FA0355" w:rsidRPr="00E90FDC" w:rsidRDefault="007613F6" w:rsidP="00E90FDC">
            <w:pPr>
              <w:rPr>
                <w:sz w:val="18"/>
                <w:szCs w:val="18"/>
              </w:rPr>
            </w:pPr>
            <w:hyperlink r:id="rId14" w:history="1">
              <w:r w:rsidR="00FA0355" w:rsidRPr="00E90FDC">
                <w:rPr>
                  <w:rStyle w:val="Hyperlink"/>
                  <w:sz w:val="18"/>
                  <w:szCs w:val="18"/>
                </w:rPr>
                <w:t>Environment Agency (2011) Treatment of waste for landfill</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23,24,25,26</w:t>
            </w:r>
          </w:p>
        </w:tc>
        <w:tc>
          <w:tcPr>
            <w:tcW w:w="3416" w:type="dxa"/>
          </w:tcPr>
          <w:p w:rsidR="00FA0355" w:rsidRPr="00E90FDC" w:rsidRDefault="007613F6" w:rsidP="00E90FDC">
            <w:pPr>
              <w:rPr>
                <w:color w:val="0000FF"/>
                <w:sz w:val="18"/>
                <w:szCs w:val="18"/>
                <w:u w:val="single"/>
              </w:rPr>
            </w:pPr>
            <w:hyperlink r:id="rId15" w:history="1">
              <w:r w:rsidR="00FA0355" w:rsidRPr="00E90FDC">
                <w:rPr>
                  <w:rStyle w:val="Hyperlink"/>
                  <w:sz w:val="18"/>
                  <w:szCs w:val="18"/>
                </w:rPr>
                <w:t>Environment Agency (2010)</w:t>
              </w:r>
              <w:r w:rsidR="00E90FDC" w:rsidRPr="00E90FDC">
                <w:rPr>
                  <w:rStyle w:val="Hyperlink"/>
                  <w:sz w:val="18"/>
                  <w:szCs w:val="18"/>
                </w:rPr>
                <w:t xml:space="preserve"> Waste acceptance at landfills</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26</w:t>
            </w:r>
          </w:p>
        </w:tc>
        <w:tc>
          <w:tcPr>
            <w:tcW w:w="3416" w:type="dxa"/>
          </w:tcPr>
          <w:p w:rsidR="00FA0355" w:rsidRPr="00E90FDC" w:rsidRDefault="007613F6" w:rsidP="00E90FDC">
            <w:pPr>
              <w:rPr>
                <w:color w:val="943634" w:themeColor="accent2" w:themeShade="BF"/>
                <w:sz w:val="18"/>
                <w:szCs w:val="18"/>
              </w:rPr>
            </w:pPr>
            <w:hyperlink r:id="rId16" w:history="1">
              <w:r w:rsidR="00FA0355" w:rsidRPr="00E90FDC">
                <w:rPr>
                  <w:rStyle w:val="Hyperlink"/>
                  <w:sz w:val="18"/>
                  <w:szCs w:val="18"/>
                </w:rPr>
                <w:t>GOV.UK (2019) Dispose o</w:t>
              </w:r>
              <w:r w:rsidR="00E90FDC" w:rsidRPr="00E90FDC">
                <w:rPr>
                  <w:rStyle w:val="Hyperlink"/>
                  <w:sz w:val="18"/>
                  <w:szCs w:val="18"/>
                </w:rPr>
                <w:t>f business or commercial waste</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29,31,32</w:t>
            </w:r>
          </w:p>
        </w:tc>
        <w:tc>
          <w:tcPr>
            <w:tcW w:w="3416" w:type="dxa"/>
          </w:tcPr>
          <w:p w:rsidR="00FA0355" w:rsidRPr="00E90FDC" w:rsidRDefault="007613F6" w:rsidP="00E90FDC">
            <w:pPr>
              <w:rPr>
                <w:sz w:val="18"/>
                <w:szCs w:val="18"/>
              </w:rPr>
            </w:pPr>
            <w:hyperlink r:id="rId17" w:history="1">
              <w:r w:rsidR="00FA0355" w:rsidRPr="00E90FDC">
                <w:rPr>
                  <w:rStyle w:val="Hyperlink"/>
                  <w:sz w:val="18"/>
                  <w:szCs w:val="18"/>
                </w:rPr>
                <w:t>Environment Agency (2014) Guidance on the management of landfill gas</w:t>
              </w:r>
            </w:hyperlink>
            <w:r w:rsidR="00FA0355" w:rsidRPr="00E90FDC">
              <w:rPr>
                <w:color w:val="7030A0"/>
                <w:sz w:val="18"/>
                <w:szCs w:val="18"/>
              </w:rPr>
              <w:t xml:space="preserve"> </w:t>
            </w:r>
          </w:p>
        </w:tc>
      </w:tr>
      <w:tr w:rsidR="00FA0355" w:rsidRPr="00E90FDC" w:rsidTr="00E90FDC">
        <w:tc>
          <w:tcPr>
            <w:tcW w:w="959" w:type="dxa"/>
          </w:tcPr>
          <w:p w:rsidR="00FA0355" w:rsidRPr="00E90FDC" w:rsidRDefault="00FA0355" w:rsidP="00FA0355">
            <w:pPr>
              <w:rPr>
                <w:sz w:val="18"/>
                <w:szCs w:val="18"/>
              </w:rPr>
            </w:pPr>
            <w:r w:rsidRPr="00E90FDC">
              <w:rPr>
                <w:sz w:val="18"/>
                <w:szCs w:val="18"/>
              </w:rPr>
              <w:t>30</w:t>
            </w:r>
          </w:p>
        </w:tc>
        <w:tc>
          <w:tcPr>
            <w:tcW w:w="3416" w:type="dxa"/>
          </w:tcPr>
          <w:p w:rsidR="00FA0355" w:rsidRPr="00E90FDC" w:rsidRDefault="007613F6" w:rsidP="00E90FDC">
            <w:pPr>
              <w:rPr>
                <w:sz w:val="18"/>
                <w:szCs w:val="18"/>
              </w:rPr>
            </w:pPr>
            <w:hyperlink r:id="rId18" w:history="1">
              <w:r w:rsidR="00FA0355" w:rsidRPr="00E90FDC">
                <w:rPr>
                  <w:rStyle w:val="Hyperlink"/>
                  <w:sz w:val="18"/>
                  <w:szCs w:val="18"/>
                </w:rPr>
                <w:t>Environment Agency (2010) Guidance for monitoring tr</w:t>
              </w:r>
              <w:r w:rsidR="00E90FDC" w:rsidRPr="00E90FDC">
                <w:rPr>
                  <w:rStyle w:val="Hyperlink"/>
                  <w:sz w:val="18"/>
                  <w:szCs w:val="18"/>
                </w:rPr>
                <w:t>ace components in landfill gas</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32</w:t>
            </w:r>
          </w:p>
        </w:tc>
        <w:tc>
          <w:tcPr>
            <w:tcW w:w="3416" w:type="dxa"/>
          </w:tcPr>
          <w:p w:rsidR="00FA0355" w:rsidRPr="00E90FDC" w:rsidRDefault="007613F6" w:rsidP="00E90FDC">
            <w:pPr>
              <w:rPr>
                <w:sz w:val="18"/>
                <w:szCs w:val="18"/>
              </w:rPr>
            </w:pPr>
            <w:hyperlink r:id="rId19" w:history="1">
              <w:r w:rsidR="00FA0355" w:rsidRPr="00E90FDC">
                <w:rPr>
                  <w:rStyle w:val="Hyperlink"/>
                  <w:sz w:val="18"/>
                  <w:szCs w:val="18"/>
                </w:rPr>
                <w:t>Environmental Services A</w:t>
              </w:r>
              <w:r w:rsidR="00E90FDC" w:rsidRPr="00E90FDC">
                <w:rPr>
                  <w:rStyle w:val="Hyperlink"/>
                  <w:sz w:val="18"/>
                  <w:szCs w:val="18"/>
                </w:rPr>
                <w:t>ssociation (2012) Landfill gas</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32,42</w:t>
            </w:r>
          </w:p>
        </w:tc>
        <w:tc>
          <w:tcPr>
            <w:tcW w:w="3416" w:type="dxa"/>
          </w:tcPr>
          <w:p w:rsidR="00FA0355" w:rsidRPr="00E90FDC" w:rsidRDefault="007613F6" w:rsidP="00E90FDC">
            <w:pPr>
              <w:rPr>
                <w:color w:val="943634" w:themeColor="accent2" w:themeShade="BF"/>
                <w:sz w:val="18"/>
                <w:szCs w:val="18"/>
              </w:rPr>
            </w:pPr>
            <w:hyperlink r:id="rId20" w:history="1">
              <w:r w:rsidR="00FA0355" w:rsidRPr="00E90FDC">
                <w:rPr>
                  <w:rStyle w:val="Hyperlink"/>
                  <w:sz w:val="18"/>
                  <w:szCs w:val="18"/>
                </w:rPr>
                <w:t>Environment Agency (2007) Review and investigation of deep-seated fires within landfill sites</w:t>
              </w:r>
            </w:hyperlink>
            <w:r w:rsidR="00FA0355" w:rsidRPr="00E90FDC">
              <w:rPr>
                <w:sz w:val="18"/>
                <w:szCs w:val="18"/>
              </w:rPr>
              <w:t xml:space="preserve"> </w:t>
            </w:r>
          </w:p>
        </w:tc>
      </w:tr>
      <w:tr w:rsidR="00FA0355" w:rsidRPr="00E90FDC" w:rsidTr="00E90FDC">
        <w:tc>
          <w:tcPr>
            <w:tcW w:w="959" w:type="dxa"/>
          </w:tcPr>
          <w:p w:rsidR="00FA0355" w:rsidRPr="00E90FDC" w:rsidRDefault="00FA0355" w:rsidP="00FA0355">
            <w:pPr>
              <w:rPr>
                <w:sz w:val="18"/>
                <w:szCs w:val="18"/>
              </w:rPr>
            </w:pPr>
            <w:r w:rsidRPr="00E90FDC">
              <w:rPr>
                <w:sz w:val="18"/>
                <w:szCs w:val="18"/>
              </w:rPr>
              <w:t>35,36,37</w:t>
            </w:r>
          </w:p>
        </w:tc>
        <w:tc>
          <w:tcPr>
            <w:tcW w:w="3416" w:type="dxa"/>
          </w:tcPr>
          <w:p w:rsidR="00FA0355" w:rsidRPr="00E90FDC" w:rsidRDefault="007613F6" w:rsidP="00E90FDC">
            <w:pPr>
              <w:rPr>
                <w:sz w:val="18"/>
                <w:szCs w:val="18"/>
              </w:rPr>
            </w:pPr>
            <w:hyperlink r:id="rId21" w:history="1">
              <w:r w:rsidR="00FA0355" w:rsidRPr="00E90FDC">
                <w:rPr>
                  <w:rStyle w:val="Hyperlink"/>
                  <w:sz w:val="18"/>
                  <w:szCs w:val="18"/>
                </w:rPr>
                <w:t>Environment Agency (2014) Guidance for the treatment of landfill leachate</w:t>
              </w:r>
            </w:hyperlink>
            <w:r w:rsidR="00FA0355" w:rsidRPr="00E90FDC">
              <w:rPr>
                <w:color w:val="7030A0"/>
                <w:sz w:val="18"/>
                <w:szCs w:val="18"/>
              </w:rPr>
              <w:t xml:space="preserve"> </w:t>
            </w:r>
          </w:p>
        </w:tc>
      </w:tr>
      <w:tr w:rsidR="00FA0355" w:rsidRPr="00E90FDC" w:rsidTr="00E90FDC">
        <w:tc>
          <w:tcPr>
            <w:tcW w:w="959" w:type="dxa"/>
          </w:tcPr>
          <w:p w:rsidR="00FA0355" w:rsidRPr="00E90FDC" w:rsidRDefault="00FA0355" w:rsidP="00FA0355">
            <w:pPr>
              <w:rPr>
                <w:sz w:val="18"/>
                <w:szCs w:val="18"/>
              </w:rPr>
            </w:pPr>
            <w:r w:rsidRPr="00E90FDC">
              <w:rPr>
                <w:sz w:val="18"/>
                <w:szCs w:val="18"/>
              </w:rPr>
              <w:t>36</w:t>
            </w:r>
          </w:p>
        </w:tc>
        <w:tc>
          <w:tcPr>
            <w:tcW w:w="3416" w:type="dxa"/>
          </w:tcPr>
          <w:p w:rsidR="00FA0355" w:rsidRPr="00E90FDC" w:rsidRDefault="007613F6" w:rsidP="00E90FDC">
            <w:pPr>
              <w:rPr>
                <w:sz w:val="18"/>
                <w:szCs w:val="18"/>
              </w:rPr>
            </w:pPr>
            <w:hyperlink r:id="rId22" w:history="1">
              <w:r w:rsidR="00FA0355" w:rsidRPr="00E90FDC">
                <w:rPr>
                  <w:rStyle w:val="Hyperlink"/>
                  <w:sz w:val="18"/>
                  <w:szCs w:val="18"/>
                </w:rPr>
                <w:t>Environment Agency</w:t>
              </w:r>
              <w:r w:rsidR="00E90FDC" w:rsidRPr="00E90FDC">
                <w:rPr>
                  <w:rStyle w:val="Hyperlink"/>
                  <w:sz w:val="18"/>
                  <w:szCs w:val="18"/>
                </w:rPr>
                <w:t xml:space="preserve"> (2011) Horizontal Guidance H1</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38</w:t>
            </w:r>
          </w:p>
        </w:tc>
        <w:tc>
          <w:tcPr>
            <w:tcW w:w="3416" w:type="dxa"/>
          </w:tcPr>
          <w:p w:rsidR="00FA0355" w:rsidRPr="00E90FDC" w:rsidRDefault="007613F6" w:rsidP="00E90FDC">
            <w:pPr>
              <w:rPr>
                <w:sz w:val="18"/>
                <w:szCs w:val="18"/>
              </w:rPr>
            </w:pPr>
            <w:hyperlink r:id="rId23" w:history="1">
              <w:r w:rsidR="00FA0355" w:rsidRPr="00E90FDC">
                <w:rPr>
                  <w:rStyle w:val="Hyperlink"/>
                  <w:sz w:val="18"/>
                  <w:szCs w:val="18"/>
                </w:rPr>
                <w:t xml:space="preserve">Environment Agency (2014) Hydrogeological </w:t>
              </w:r>
              <w:r w:rsidR="00E90FDC" w:rsidRPr="00E90FDC">
                <w:rPr>
                  <w:rStyle w:val="Hyperlink"/>
                  <w:sz w:val="18"/>
                  <w:szCs w:val="18"/>
                </w:rPr>
                <w:t>risk assessment for landfill</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48</w:t>
            </w:r>
          </w:p>
        </w:tc>
        <w:tc>
          <w:tcPr>
            <w:tcW w:w="3416" w:type="dxa"/>
          </w:tcPr>
          <w:p w:rsidR="00FA0355" w:rsidRPr="00E90FDC" w:rsidRDefault="007613F6" w:rsidP="00E90FDC">
            <w:pPr>
              <w:rPr>
                <w:sz w:val="18"/>
                <w:szCs w:val="18"/>
              </w:rPr>
            </w:pPr>
            <w:hyperlink r:id="rId24" w:history="1">
              <w:r w:rsidR="00FA0355" w:rsidRPr="00E90FDC">
                <w:rPr>
                  <w:rStyle w:val="Hyperlink"/>
                  <w:sz w:val="18"/>
                  <w:szCs w:val="18"/>
                </w:rPr>
                <w:t>Health and Safety (20</w:t>
              </w:r>
              <w:r w:rsidR="00E90FDC" w:rsidRPr="00E90FDC">
                <w:rPr>
                  <w:rStyle w:val="Hyperlink"/>
                  <w:sz w:val="18"/>
                  <w:szCs w:val="18"/>
                </w:rPr>
                <w:t>13) Workplace transport safety</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49</w:t>
            </w:r>
          </w:p>
        </w:tc>
        <w:tc>
          <w:tcPr>
            <w:tcW w:w="3416" w:type="dxa"/>
          </w:tcPr>
          <w:p w:rsidR="00FA0355" w:rsidRPr="00E90FDC" w:rsidRDefault="007613F6" w:rsidP="00E90FDC">
            <w:pPr>
              <w:rPr>
                <w:sz w:val="18"/>
                <w:szCs w:val="18"/>
              </w:rPr>
            </w:pPr>
            <w:hyperlink r:id="rId25" w:history="1">
              <w:r w:rsidR="00FA0355" w:rsidRPr="00E90FDC">
                <w:rPr>
                  <w:rStyle w:val="Hyperlink"/>
                  <w:sz w:val="18"/>
                  <w:szCs w:val="18"/>
                </w:rPr>
                <w:t>Environment Agency (2014) Guidance on using landfill cover material</w:t>
              </w:r>
              <w:r w:rsidR="00E90FDC" w:rsidRPr="00E90FDC">
                <w:rPr>
                  <w:rStyle w:val="Hyperlink"/>
                  <w:sz w:val="18"/>
                  <w:szCs w:val="18"/>
                </w:rPr>
                <w:t>s</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35,55,56</w:t>
            </w:r>
          </w:p>
        </w:tc>
        <w:tc>
          <w:tcPr>
            <w:tcW w:w="3416" w:type="dxa"/>
          </w:tcPr>
          <w:p w:rsidR="00FA0355" w:rsidRPr="00E90FDC" w:rsidRDefault="007613F6" w:rsidP="00E90FDC">
            <w:pPr>
              <w:rPr>
                <w:sz w:val="18"/>
                <w:szCs w:val="18"/>
              </w:rPr>
            </w:pPr>
            <w:hyperlink r:id="rId26" w:history="1">
              <w:r w:rsidR="00FA0355" w:rsidRPr="00E90FDC">
                <w:rPr>
                  <w:rStyle w:val="Hyperlink"/>
                  <w:sz w:val="18"/>
                  <w:szCs w:val="18"/>
                </w:rPr>
                <w:t>Environment Agency (2014) Guidance on monitoring landfill leachate, groundwater and surface water</w:t>
              </w:r>
            </w:hyperlink>
            <w:r w:rsidR="00FA0355" w:rsidRPr="00E90FDC">
              <w:rPr>
                <w:color w:val="7030A0"/>
                <w:sz w:val="18"/>
                <w:szCs w:val="18"/>
              </w:rPr>
              <w:t xml:space="preserve"> </w:t>
            </w:r>
          </w:p>
        </w:tc>
      </w:tr>
      <w:tr w:rsidR="00FA0355" w:rsidRPr="00E90FDC" w:rsidTr="00E90FDC">
        <w:tc>
          <w:tcPr>
            <w:tcW w:w="959" w:type="dxa"/>
          </w:tcPr>
          <w:p w:rsidR="00FA0355" w:rsidRPr="00E90FDC" w:rsidRDefault="00FA0355" w:rsidP="00FA0355">
            <w:pPr>
              <w:rPr>
                <w:sz w:val="18"/>
                <w:szCs w:val="18"/>
              </w:rPr>
            </w:pPr>
            <w:r w:rsidRPr="00E90FDC">
              <w:rPr>
                <w:sz w:val="18"/>
                <w:szCs w:val="18"/>
              </w:rPr>
              <w:t>59</w:t>
            </w:r>
          </w:p>
        </w:tc>
        <w:tc>
          <w:tcPr>
            <w:tcW w:w="3416" w:type="dxa"/>
          </w:tcPr>
          <w:p w:rsidR="00FA0355" w:rsidRPr="00E90FDC" w:rsidRDefault="007613F6" w:rsidP="00E90FDC">
            <w:pPr>
              <w:rPr>
                <w:sz w:val="18"/>
                <w:szCs w:val="18"/>
              </w:rPr>
            </w:pPr>
            <w:hyperlink r:id="rId27" w:history="1">
              <w:r w:rsidR="00FA0355" w:rsidRPr="00E90FDC">
                <w:rPr>
                  <w:rStyle w:val="Hyperlink"/>
                  <w:sz w:val="18"/>
                  <w:szCs w:val="18"/>
                </w:rPr>
                <w:t xml:space="preserve">Environment Agency (2013) How to comply </w:t>
              </w:r>
              <w:r w:rsidR="00E90FDC" w:rsidRPr="00E90FDC">
                <w:rPr>
                  <w:rStyle w:val="Hyperlink"/>
                  <w:sz w:val="18"/>
                  <w:szCs w:val="18"/>
                </w:rPr>
                <w:t>with your environmental permit</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59</w:t>
            </w:r>
          </w:p>
        </w:tc>
        <w:tc>
          <w:tcPr>
            <w:tcW w:w="3416" w:type="dxa"/>
          </w:tcPr>
          <w:p w:rsidR="00FA0355" w:rsidRPr="00E90FDC" w:rsidRDefault="007613F6" w:rsidP="00E90FDC">
            <w:pPr>
              <w:rPr>
                <w:sz w:val="18"/>
                <w:szCs w:val="18"/>
              </w:rPr>
            </w:pPr>
            <w:hyperlink r:id="rId28" w:history="1">
              <w:r w:rsidR="00FA0355" w:rsidRPr="00E90FDC">
                <w:rPr>
                  <w:rStyle w:val="Hyperlink"/>
                  <w:sz w:val="18"/>
                  <w:szCs w:val="18"/>
                </w:rPr>
                <w:t>GOV.UK (2019) Hazardous waste</w:t>
              </w:r>
            </w:hyperlink>
            <w:r w:rsidR="00FA0355" w:rsidRPr="00E90FDC">
              <w:rPr>
                <w:sz w:val="18"/>
                <w:szCs w:val="18"/>
              </w:rPr>
              <w:t xml:space="preserve"> </w:t>
            </w:r>
          </w:p>
        </w:tc>
      </w:tr>
      <w:tr w:rsidR="00FA0355" w:rsidRPr="00E90FDC" w:rsidTr="00E90FDC">
        <w:tc>
          <w:tcPr>
            <w:tcW w:w="959" w:type="dxa"/>
          </w:tcPr>
          <w:p w:rsidR="00FA0355" w:rsidRPr="00E90FDC" w:rsidRDefault="00FA0355" w:rsidP="00FA0355">
            <w:pPr>
              <w:rPr>
                <w:sz w:val="18"/>
                <w:szCs w:val="18"/>
              </w:rPr>
            </w:pPr>
            <w:r w:rsidRPr="00E90FDC">
              <w:rPr>
                <w:sz w:val="18"/>
                <w:szCs w:val="18"/>
              </w:rPr>
              <w:t>62</w:t>
            </w:r>
          </w:p>
        </w:tc>
        <w:tc>
          <w:tcPr>
            <w:tcW w:w="3416" w:type="dxa"/>
          </w:tcPr>
          <w:p w:rsidR="00FA0355" w:rsidRPr="00E90FDC" w:rsidRDefault="007613F6" w:rsidP="00E90FDC">
            <w:pPr>
              <w:rPr>
                <w:sz w:val="18"/>
                <w:szCs w:val="18"/>
              </w:rPr>
            </w:pPr>
            <w:hyperlink r:id="rId29" w:history="1">
              <w:r w:rsidR="00FA0355" w:rsidRPr="00E90FDC">
                <w:rPr>
                  <w:rStyle w:val="Hyperlink"/>
                  <w:sz w:val="18"/>
                  <w:szCs w:val="18"/>
                </w:rPr>
                <w:t>Environment Agency (2011) Understanding the landfill directive</w:t>
              </w:r>
            </w:hyperlink>
            <w:r w:rsidR="00FA0355" w:rsidRPr="00E90FDC">
              <w:rPr>
                <w:color w:val="7030A0"/>
                <w:sz w:val="18"/>
                <w:szCs w:val="18"/>
              </w:rPr>
              <w:t xml:space="preserve"> </w:t>
            </w:r>
          </w:p>
        </w:tc>
      </w:tr>
      <w:tr w:rsidR="00FA0355" w:rsidRPr="00E90FDC" w:rsidTr="00E90FDC">
        <w:tc>
          <w:tcPr>
            <w:tcW w:w="959" w:type="dxa"/>
          </w:tcPr>
          <w:p w:rsidR="00FA0355" w:rsidRPr="00E90FDC" w:rsidRDefault="00FA0355" w:rsidP="00FA0355">
            <w:pPr>
              <w:rPr>
                <w:sz w:val="18"/>
                <w:szCs w:val="18"/>
              </w:rPr>
            </w:pPr>
            <w:r w:rsidRPr="00E90FDC">
              <w:rPr>
                <w:sz w:val="18"/>
                <w:szCs w:val="18"/>
              </w:rPr>
              <w:t>69</w:t>
            </w:r>
          </w:p>
        </w:tc>
        <w:tc>
          <w:tcPr>
            <w:tcW w:w="3416" w:type="dxa"/>
          </w:tcPr>
          <w:p w:rsidR="00FA0355" w:rsidRPr="00E90FDC" w:rsidRDefault="007613F6" w:rsidP="00E90FDC">
            <w:pPr>
              <w:rPr>
                <w:sz w:val="18"/>
                <w:szCs w:val="18"/>
              </w:rPr>
            </w:pPr>
            <w:hyperlink r:id="rId30" w:history="1">
              <w:r w:rsidR="00FA0355" w:rsidRPr="00E90FDC">
                <w:rPr>
                  <w:rStyle w:val="Hyperlink"/>
                  <w:sz w:val="18"/>
                  <w:szCs w:val="18"/>
                </w:rPr>
                <w:t>Health and Safety Executive (2019) The Dangerous Substances and Explosive Atmospheres Regulations</w:t>
              </w:r>
            </w:hyperlink>
            <w:r w:rsidR="00FA0355" w:rsidRPr="00E90FDC">
              <w:rPr>
                <w:color w:val="7030A0"/>
                <w:sz w:val="18"/>
                <w:szCs w:val="18"/>
              </w:rPr>
              <w:t xml:space="preserve"> </w:t>
            </w:r>
          </w:p>
        </w:tc>
      </w:tr>
      <w:tr w:rsidR="00FA0355" w:rsidRPr="00E90FDC" w:rsidTr="00E90FDC">
        <w:tc>
          <w:tcPr>
            <w:tcW w:w="959" w:type="dxa"/>
          </w:tcPr>
          <w:p w:rsidR="00FA0355" w:rsidRPr="00E90FDC" w:rsidRDefault="00FA0355" w:rsidP="00FA0355">
            <w:pPr>
              <w:rPr>
                <w:sz w:val="18"/>
                <w:szCs w:val="18"/>
              </w:rPr>
            </w:pPr>
            <w:r w:rsidRPr="00E90FDC">
              <w:rPr>
                <w:sz w:val="18"/>
                <w:szCs w:val="18"/>
              </w:rPr>
              <w:t>68</w:t>
            </w:r>
          </w:p>
        </w:tc>
        <w:tc>
          <w:tcPr>
            <w:tcW w:w="3416" w:type="dxa"/>
          </w:tcPr>
          <w:p w:rsidR="00FA0355" w:rsidRPr="00E90FDC" w:rsidRDefault="007613F6" w:rsidP="00E90FDC">
            <w:pPr>
              <w:rPr>
                <w:color w:val="943634" w:themeColor="accent2" w:themeShade="BF"/>
                <w:sz w:val="18"/>
                <w:szCs w:val="18"/>
              </w:rPr>
            </w:pPr>
            <w:hyperlink r:id="rId31" w:history="1">
              <w:r w:rsidR="00FA0355" w:rsidRPr="00E90FDC">
                <w:rPr>
                  <w:rStyle w:val="Hyperlink"/>
                  <w:sz w:val="18"/>
                  <w:szCs w:val="18"/>
                </w:rPr>
                <w:t xml:space="preserve">Health and Safety (2019) Landfill fires </w:t>
              </w:r>
              <w:r w:rsidR="00E90FDC" w:rsidRPr="00E90FDC">
                <w:rPr>
                  <w:rStyle w:val="Hyperlink"/>
                  <w:sz w:val="18"/>
                  <w:szCs w:val="18"/>
                </w:rPr>
                <w:t>– controlling the risk</w:t>
              </w:r>
            </w:hyperlink>
          </w:p>
        </w:tc>
      </w:tr>
      <w:tr w:rsidR="00FA0355" w:rsidRPr="00E90FDC" w:rsidTr="00E90FDC">
        <w:tc>
          <w:tcPr>
            <w:tcW w:w="959" w:type="dxa"/>
          </w:tcPr>
          <w:p w:rsidR="00FA0355" w:rsidRPr="00E90FDC" w:rsidRDefault="00FA0355" w:rsidP="00FA0355">
            <w:pPr>
              <w:rPr>
                <w:sz w:val="18"/>
                <w:szCs w:val="18"/>
              </w:rPr>
            </w:pPr>
            <w:r w:rsidRPr="00E90FDC">
              <w:rPr>
                <w:sz w:val="18"/>
                <w:szCs w:val="18"/>
              </w:rPr>
              <w:t>70</w:t>
            </w:r>
          </w:p>
        </w:tc>
        <w:tc>
          <w:tcPr>
            <w:tcW w:w="3416" w:type="dxa"/>
          </w:tcPr>
          <w:p w:rsidR="00FA0355" w:rsidRPr="00E90FDC" w:rsidRDefault="007613F6" w:rsidP="00E90FDC">
            <w:pPr>
              <w:rPr>
                <w:sz w:val="18"/>
                <w:szCs w:val="18"/>
              </w:rPr>
            </w:pPr>
            <w:hyperlink r:id="rId32" w:history="1">
              <w:r w:rsidR="00FA0355" w:rsidRPr="00E90FDC">
                <w:rPr>
                  <w:rStyle w:val="Hyperlink"/>
                  <w:sz w:val="18"/>
                  <w:szCs w:val="18"/>
                </w:rPr>
                <w:t>Health and Safety Executive (2016) Controlling vibration risks</w:t>
              </w:r>
            </w:hyperlink>
            <w:r w:rsidR="00FA0355" w:rsidRPr="00E90FDC">
              <w:rPr>
                <w:color w:val="7030A0"/>
                <w:sz w:val="18"/>
                <w:szCs w:val="18"/>
              </w:rPr>
              <w:t xml:space="preserve"> </w:t>
            </w:r>
          </w:p>
        </w:tc>
      </w:tr>
    </w:tbl>
    <w:p w:rsidR="00E90FDC" w:rsidRPr="00E90FDC" w:rsidRDefault="00E90FDC" w:rsidP="00E90FDC">
      <w:pPr>
        <w:spacing w:after="0"/>
        <w:rPr>
          <w:b/>
          <w:i/>
          <w:sz w:val="10"/>
        </w:rPr>
      </w:pPr>
    </w:p>
    <w:p w:rsidR="00A674E5" w:rsidRPr="00E90FDC" w:rsidRDefault="00C02BF3" w:rsidP="00E90FDC">
      <w:pPr>
        <w:rPr>
          <w:i/>
          <w:sz w:val="18"/>
        </w:rPr>
      </w:pPr>
      <w:r w:rsidRPr="00E90FDC">
        <w:rPr>
          <w:b/>
          <w:i/>
          <w:sz w:val="18"/>
        </w:rPr>
        <w:t>Please note:</w:t>
      </w:r>
      <w:r w:rsidRPr="00E90FDC">
        <w:rPr>
          <w:i/>
          <w:sz w:val="18"/>
        </w:rPr>
        <w:t xml:space="preserve"> this information was correct at the time of publishing. If you find these links are broken, type the document title into a search engine.</w:t>
      </w:r>
    </w:p>
    <w:p w:rsidR="004E04DE" w:rsidRDefault="004E04DE" w:rsidP="00A6136C">
      <w:pPr>
        <w:spacing w:before="240" w:after="0"/>
        <w:rPr>
          <w:i/>
        </w:rPr>
      </w:pP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6136C" w:rsidRDefault="00A6136C" w:rsidP="00A6136C">
            <w:pPr>
              <w:rPr>
                <w:b/>
              </w:rPr>
            </w:pPr>
          </w:p>
          <w:p w:rsidR="00A6136C" w:rsidRDefault="00A6136C" w:rsidP="00A6136C">
            <w:pPr>
              <w:rPr>
                <w:b/>
              </w:rPr>
            </w:pPr>
            <w:r>
              <w:rPr>
                <w:b/>
              </w:rPr>
              <w:t>About this sheet</w:t>
            </w:r>
          </w:p>
          <w:p w:rsidR="00A6136C" w:rsidRDefault="00A6136C" w:rsidP="00A6136C">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A6136C">
            <w:pPr>
              <w:rPr>
                <w:i/>
              </w:rPr>
            </w:pPr>
          </w:p>
          <w:p w:rsidR="00A6136C" w:rsidRPr="00AA6976" w:rsidRDefault="00A6136C" w:rsidP="00A6136C">
            <w:pPr>
              <w:rPr>
                <w:i/>
              </w:rPr>
            </w:pPr>
            <w:r w:rsidRPr="00AA6976">
              <w:rPr>
                <w:i/>
              </w:rPr>
              <w:t>It will highlight any changes in technical guidance and sources used as a basis for the Continuing Competence question bank to support the revision of users.</w:t>
            </w:r>
          </w:p>
          <w:p w:rsidR="00A6136C" w:rsidRDefault="00A6136C" w:rsidP="00A6136C">
            <w:pPr>
              <w:rPr>
                <w:i/>
              </w:rPr>
            </w:pPr>
          </w:p>
        </w:tc>
      </w:tr>
    </w:tbl>
    <w:p w:rsidR="00A6136C" w:rsidRDefault="00A6136C" w:rsidP="003F6D66">
      <w:pPr>
        <w:spacing w:after="0"/>
        <w:rPr>
          <w:b/>
        </w:rPr>
      </w:pPr>
    </w:p>
    <w:p w:rsidR="00A6136C" w:rsidRDefault="00A6136C" w:rsidP="00A6136C">
      <w:pPr>
        <w:rPr>
          <w:b/>
        </w:rPr>
      </w:pPr>
      <w:r>
        <w:rPr>
          <w:b/>
        </w:rPr>
        <w:t>Frequently Asked Questions (FAQs)</w:t>
      </w:r>
    </w:p>
    <w:p w:rsidR="00A6136C" w:rsidRPr="00F02619" w:rsidRDefault="00A6136C" w:rsidP="00A6136C">
      <w:pPr>
        <w:rPr>
          <w:i/>
          <w:color w:val="7030A0"/>
        </w:rPr>
      </w:pPr>
      <w:r w:rsidRPr="00F02619">
        <w:rPr>
          <w:i/>
          <w:color w:val="7030A0"/>
        </w:rPr>
        <w:t>How much does the test cost?</w:t>
      </w:r>
    </w:p>
    <w:p w:rsidR="00A6136C" w:rsidRDefault="00A6136C" w:rsidP="00A6136C">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A6136C">
      <w:pPr>
        <w:rPr>
          <w:i/>
          <w:color w:val="7030A0"/>
        </w:rPr>
      </w:pPr>
      <w:r w:rsidRPr="00F02619">
        <w:rPr>
          <w:i/>
          <w:color w:val="7030A0"/>
        </w:rPr>
        <w:t>What form of personal identification can I use at the test centre?</w:t>
      </w:r>
    </w:p>
    <w:p w:rsidR="00A6136C" w:rsidRDefault="00A6136C" w:rsidP="00A6136C">
      <w:pPr>
        <w:pStyle w:val="ListParagraph"/>
        <w:numPr>
          <w:ilvl w:val="0"/>
          <w:numId w:val="1"/>
        </w:numPr>
      </w:pPr>
      <w:r>
        <w:t>A valid signed passport of any country with your photograph and signature.</w:t>
      </w:r>
    </w:p>
    <w:p w:rsidR="00A6136C" w:rsidRDefault="00A6136C" w:rsidP="00A6136C">
      <w:pPr>
        <w:pStyle w:val="ListParagraph"/>
        <w:numPr>
          <w:ilvl w:val="0"/>
          <w:numId w:val="1"/>
        </w:numPr>
      </w:pPr>
      <w:r>
        <w:t>A valid signed UK photo card driving licence (full or provisional).</w:t>
      </w:r>
    </w:p>
    <w:p w:rsidR="00A6136C" w:rsidRPr="008A2290" w:rsidRDefault="00A6136C" w:rsidP="00A6136C">
      <w:pPr>
        <w:pStyle w:val="ListParagraph"/>
        <w:numPr>
          <w:ilvl w:val="0"/>
          <w:numId w:val="1"/>
        </w:numPr>
      </w:pPr>
      <w:r>
        <w:t>If you have none of these, you may present a Citizen’s ID Card.</w:t>
      </w:r>
      <w:r w:rsidR="00A352DD" w:rsidRPr="00A352DD">
        <w:rPr>
          <w:noProof/>
          <w:lang w:eastAsia="en-GB"/>
        </w:rPr>
        <w:t xml:space="preserve"> </w:t>
      </w:r>
    </w:p>
    <w:p w:rsidR="00A6136C" w:rsidRDefault="00A6136C" w:rsidP="00A6136C">
      <w:pPr>
        <w:rPr>
          <w:i/>
          <w:color w:val="7030A0"/>
        </w:rPr>
      </w:pPr>
      <w:r>
        <w:rPr>
          <w:i/>
          <w:color w:val="7030A0"/>
        </w:rPr>
        <w:t>How can I find out if I have passed the test?</w:t>
      </w:r>
    </w:p>
    <w:p w:rsidR="003F6D66" w:rsidRDefault="00A6136C" w:rsidP="00286918">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86918">
      <w:r>
        <w:t>T</w:t>
      </w:r>
      <w:r w:rsidR="00A6136C">
        <w:t xml:space="preserve">here is an example on the back of your score report showing how to work out if you’ve passed. Alternatively, you can go to </w:t>
      </w:r>
      <w:hyperlink r:id="rId33"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headerReference w:type="default" r:id="rId34"/>
      <w:footerReference w:type="default" r:id="rId3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55" w:rsidRDefault="00FA0355" w:rsidP="00033393">
      <w:pPr>
        <w:spacing w:after="0" w:line="240" w:lineRule="auto"/>
      </w:pPr>
      <w:r>
        <w:separator/>
      </w:r>
    </w:p>
  </w:endnote>
  <w:endnote w:type="continuationSeparator" w:id="0">
    <w:p w:rsidR="00FA0355" w:rsidRDefault="00FA0355"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70377"/>
      <w:docPartObj>
        <w:docPartGallery w:val="Page Numbers (Bottom of Page)"/>
        <w:docPartUnique/>
      </w:docPartObj>
    </w:sdtPr>
    <w:sdtEndPr/>
    <w:sdtContent>
      <w:sdt>
        <w:sdtPr>
          <w:id w:val="-1011378125"/>
          <w:docPartObj>
            <w:docPartGallery w:val="Page Numbers (Top of Page)"/>
            <w:docPartUnique/>
          </w:docPartObj>
        </w:sdtPr>
        <w:sdtEndPr/>
        <w:sdtContent>
          <w:p w:rsidR="00FA0355" w:rsidRDefault="00FA0355" w:rsidP="00FB3587">
            <w:pPr>
              <w:spacing w:after="0"/>
            </w:pPr>
            <w:r>
              <w:rPr>
                <w:noProof/>
                <w:lang w:eastAsia="en-GB"/>
              </w:rPr>
              <mc:AlternateContent>
                <mc:Choice Requires="wps">
                  <w:drawing>
                    <wp:anchor distT="0" distB="0" distL="114300" distR="114300" simplePos="0" relativeHeight="251661312" behindDoc="0" locked="0" layoutInCell="1" allowOverlap="1" wp14:anchorId="2049DF58" wp14:editId="4D09F98D">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812439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7613F6">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7613F6">
                          <w:rPr>
                            <w:b/>
                            <w:noProof/>
                          </w:rPr>
                          <w:t>3</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55" w:rsidRDefault="00FA0355" w:rsidP="00033393">
      <w:pPr>
        <w:spacing w:after="0" w:line="240" w:lineRule="auto"/>
      </w:pPr>
      <w:r>
        <w:separator/>
      </w:r>
    </w:p>
  </w:footnote>
  <w:footnote w:type="continuationSeparator" w:id="0">
    <w:p w:rsidR="00FA0355" w:rsidRDefault="00FA0355"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55" w:rsidRPr="00033393" w:rsidRDefault="00FA0355">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4A003D9C" wp14:editId="0648574D">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596"/>
    <w:multiLevelType w:val="hybridMultilevel"/>
    <w:tmpl w:val="8738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B2A70"/>
    <w:multiLevelType w:val="hybridMultilevel"/>
    <w:tmpl w:val="6CF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154F83"/>
    <w:multiLevelType w:val="hybridMultilevel"/>
    <w:tmpl w:val="4330D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7A6BDB"/>
    <w:multiLevelType w:val="hybridMultilevel"/>
    <w:tmpl w:val="04A8F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B707DC"/>
    <w:multiLevelType w:val="hybridMultilevel"/>
    <w:tmpl w:val="7744D4F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BE404B"/>
    <w:multiLevelType w:val="hybridMultilevel"/>
    <w:tmpl w:val="873A5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A676F2"/>
    <w:multiLevelType w:val="hybridMultilevel"/>
    <w:tmpl w:val="E5B6F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AC350C"/>
    <w:multiLevelType w:val="hybridMultilevel"/>
    <w:tmpl w:val="79648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1E5B49"/>
    <w:multiLevelType w:val="hybridMultilevel"/>
    <w:tmpl w:val="95403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8B17B5"/>
    <w:multiLevelType w:val="hybridMultilevel"/>
    <w:tmpl w:val="72B06D24"/>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2F11BB"/>
    <w:multiLevelType w:val="hybridMultilevel"/>
    <w:tmpl w:val="CD9EB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663776D"/>
    <w:multiLevelType w:val="hybridMultilevel"/>
    <w:tmpl w:val="D3249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596AD8"/>
    <w:multiLevelType w:val="hybridMultilevel"/>
    <w:tmpl w:val="6AB6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8303779"/>
    <w:multiLevelType w:val="hybridMultilevel"/>
    <w:tmpl w:val="A4C80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8B94FC3"/>
    <w:multiLevelType w:val="hybridMultilevel"/>
    <w:tmpl w:val="86EEE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734CE4"/>
    <w:multiLevelType w:val="hybridMultilevel"/>
    <w:tmpl w:val="04CA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47E68E5"/>
    <w:multiLevelType w:val="hybridMultilevel"/>
    <w:tmpl w:val="8C7E6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D7537EE"/>
    <w:multiLevelType w:val="hybridMultilevel"/>
    <w:tmpl w:val="CBD40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9"/>
  </w:num>
  <w:num w:numId="4">
    <w:abstractNumId w:val="13"/>
  </w:num>
  <w:num w:numId="5">
    <w:abstractNumId w:val="1"/>
  </w:num>
  <w:num w:numId="6">
    <w:abstractNumId w:val="11"/>
  </w:num>
  <w:num w:numId="7">
    <w:abstractNumId w:val="18"/>
  </w:num>
  <w:num w:numId="8">
    <w:abstractNumId w:val="8"/>
  </w:num>
  <w:num w:numId="9">
    <w:abstractNumId w:val="0"/>
  </w:num>
  <w:num w:numId="10">
    <w:abstractNumId w:val="2"/>
  </w:num>
  <w:num w:numId="11">
    <w:abstractNumId w:val="6"/>
  </w:num>
  <w:num w:numId="12">
    <w:abstractNumId w:val="4"/>
  </w:num>
  <w:num w:numId="13">
    <w:abstractNumId w:val="15"/>
  </w:num>
  <w:num w:numId="14">
    <w:abstractNumId w:val="14"/>
  </w:num>
  <w:num w:numId="15">
    <w:abstractNumId w:val="21"/>
  </w:num>
  <w:num w:numId="16">
    <w:abstractNumId w:val="10"/>
  </w:num>
  <w:num w:numId="17">
    <w:abstractNumId w:val="7"/>
  </w:num>
  <w:num w:numId="18">
    <w:abstractNumId w:val="20"/>
  </w:num>
  <w:num w:numId="19">
    <w:abstractNumId w:val="5"/>
  </w:num>
  <w:num w:numId="20">
    <w:abstractNumId w:val="3"/>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218C2"/>
    <w:rsid w:val="0002797C"/>
    <w:rsid w:val="00033393"/>
    <w:rsid w:val="000725CE"/>
    <w:rsid w:val="000C3A3D"/>
    <w:rsid w:val="00212E7A"/>
    <w:rsid w:val="00286918"/>
    <w:rsid w:val="00310536"/>
    <w:rsid w:val="00327D79"/>
    <w:rsid w:val="003321AB"/>
    <w:rsid w:val="00396D22"/>
    <w:rsid w:val="003E0D39"/>
    <w:rsid w:val="003F6D66"/>
    <w:rsid w:val="00440CA7"/>
    <w:rsid w:val="004E04DE"/>
    <w:rsid w:val="005607D4"/>
    <w:rsid w:val="00616296"/>
    <w:rsid w:val="0069215B"/>
    <w:rsid w:val="007613F6"/>
    <w:rsid w:val="00790959"/>
    <w:rsid w:val="007A593D"/>
    <w:rsid w:val="007F566C"/>
    <w:rsid w:val="00840F1B"/>
    <w:rsid w:val="008A2290"/>
    <w:rsid w:val="008B1233"/>
    <w:rsid w:val="00917404"/>
    <w:rsid w:val="009253D5"/>
    <w:rsid w:val="009457DE"/>
    <w:rsid w:val="00964157"/>
    <w:rsid w:val="00972763"/>
    <w:rsid w:val="009B5506"/>
    <w:rsid w:val="00A352DD"/>
    <w:rsid w:val="00A6136C"/>
    <w:rsid w:val="00A674E5"/>
    <w:rsid w:val="00A97B72"/>
    <w:rsid w:val="00AA6976"/>
    <w:rsid w:val="00AB5205"/>
    <w:rsid w:val="00AC2D40"/>
    <w:rsid w:val="00AE4804"/>
    <w:rsid w:val="00B15D2A"/>
    <w:rsid w:val="00B96ACC"/>
    <w:rsid w:val="00BA6C48"/>
    <w:rsid w:val="00BE5446"/>
    <w:rsid w:val="00C02BF3"/>
    <w:rsid w:val="00C07409"/>
    <w:rsid w:val="00C20806"/>
    <w:rsid w:val="00C5072D"/>
    <w:rsid w:val="00D90EA2"/>
    <w:rsid w:val="00D97EF9"/>
    <w:rsid w:val="00DB0056"/>
    <w:rsid w:val="00E3060D"/>
    <w:rsid w:val="00E57C78"/>
    <w:rsid w:val="00E7595A"/>
    <w:rsid w:val="00E90FDC"/>
    <w:rsid w:val="00E961A5"/>
    <w:rsid w:val="00F02619"/>
    <w:rsid w:val="00F029FD"/>
    <w:rsid w:val="00F9256E"/>
    <w:rsid w:val="00FA0355"/>
    <w:rsid w:val="00FB3587"/>
    <w:rsid w:val="00FD35F1"/>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321514/LFE5.pdf" TargetMode="External"/><Relationship Id="rId18" Type="http://schemas.openxmlformats.org/officeDocument/2006/relationships/hyperlink" Target="https://www.gov.uk/government/uploads/system/uploads/attachment_data/file/321609/LFTGN04.pdf" TargetMode="External"/><Relationship Id="rId26" Type="http://schemas.openxmlformats.org/officeDocument/2006/relationships/hyperlink" Target="https://www.gov.uk/government/publications/monitoring-of-landfill-leachate-groundwater-and-surface-water-lftgn-02"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322411/Guidance_for_the_Treatment_of_Landfill_Leachate_part_1.pd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amitab.org.uk/wp-content/uploads/2018/09/CIWM-WAMITAB-Operator-Competence-Scheme-Version-9-Final.pdf" TargetMode="External"/><Relationship Id="rId17" Type="http://schemas.openxmlformats.org/officeDocument/2006/relationships/hyperlink" Target="https://www.gov.uk/government/uploads/system/uploads/attachment_data/file/321606/LFTGN03.pdf" TargetMode="External"/><Relationship Id="rId25" Type="http://schemas.openxmlformats.org/officeDocument/2006/relationships/hyperlink" Target="https://www.gov.uk/government/uploads/system/uploads/attachment_data/file/321537/LFE6_guidance_on_using_landfill_cover_materials.pdf" TargetMode="External"/><Relationship Id="rId33" Type="http://schemas.openxmlformats.org/officeDocument/2006/relationships/hyperlink" Target="https://wamitab.org.uk/competence/continuing-competence/test-score-calculator/" TargetMode="External"/><Relationship Id="rId2" Type="http://schemas.openxmlformats.org/officeDocument/2006/relationships/numbering" Target="numbering.xml"/><Relationship Id="rId16" Type="http://schemas.openxmlformats.org/officeDocument/2006/relationships/hyperlink" Target="https://www.gov.uk/managing-your-waste-an-overview/waste-transfer-notes" TargetMode="External"/><Relationship Id="rId20" Type="http://schemas.openxmlformats.org/officeDocument/2006/relationships/hyperlink" Target="https://assets.publishing.service.gov.uk/government/uploads/system/uploads/attachment_data/file/291590/scho0307bmcp-e-e.pdf" TargetMode="External"/><Relationship Id="rId29" Type="http://schemas.openxmlformats.org/officeDocument/2006/relationships/hyperlink" Target="https://www.gov.uk/government/uploads/system/uploads/attachment_data/file/296536/LIT_8286_f89fa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inancial-provision-for-landfill" TargetMode="External"/><Relationship Id="rId24" Type="http://schemas.openxmlformats.org/officeDocument/2006/relationships/hyperlink" Target="http://www.hse.gov.uk/pubns/indg199.pdf" TargetMode="External"/><Relationship Id="rId32" Type="http://schemas.openxmlformats.org/officeDocument/2006/relationships/hyperlink" Target="http://www.hse.gov.uk/vibration/wbv/risks.ht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uploads/system/uploads/attachment_data/file/296422/geho1110btew-e-e.pdf" TargetMode="External"/><Relationship Id="rId23" Type="http://schemas.openxmlformats.org/officeDocument/2006/relationships/hyperlink" Target="https://www.gov.uk/government/uploads/system/uploads/attachment_data/file/321636/HRA_review_29_4_09.pdf" TargetMode="External"/><Relationship Id="rId28" Type="http://schemas.openxmlformats.org/officeDocument/2006/relationships/hyperlink" Target="https://www.gov.uk/dispose-hazardous-waste/consignee-returns" TargetMode="External"/><Relationship Id="rId36" Type="http://schemas.openxmlformats.org/officeDocument/2006/relationships/fontTable" Target="fontTable.xml"/><Relationship Id="rId10" Type="http://schemas.openxmlformats.org/officeDocument/2006/relationships/hyperlink" Target="https://www.gov.uk/government/publications/financial-provision-for-landfill" TargetMode="External"/><Relationship Id="rId19" Type="http://schemas.openxmlformats.org/officeDocument/2006/relationships/hyperlink" Target="http://www.esauk.org/reports_press_releases/esa_reports/LandfillgasICoP2012web.pdf" TargetMode="External"/><Relationship Id="rId31" Type="http://schemas.openxmlformats.org/officeDocument/2006/relationships/hyperlink" Target="http://www.hse.gov.uk/waste/landfillfires.htm"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296861/geho0409bput-e-e.pdf" TargetMode="External"/><Relationship Id="rId14" Type="http://schemas.openxmlformats.org/officeDocument/2006/relationships/hyperlink" Target="https://www.gov.uk/government/uploads/system/uploads/attachment_data/file/321200/Treatment_of_waste_for_landfill.pdf" TargetMode="External"/><Relationship Id="rId22" Type="http://schemas.openxmlformats.org/officeDocument/2006/relationships/hyperlink" Target="https://www.gov.uk/government/uploads/system/uploads/attachment_data/file/496405/withdrawn_H1_Annex_J3.pdf" TargetMode="External"/><Relationship Id="rId27" Type="http://schemas.openxmlformats.org/officeDocument/2006/relationships/hyperlink" Target="https://www.gov.uk/government/uploads/system/uploads/attachment_data/file/496261/withdrawn_How_to_comply_-_LIT_7123.pdf" TargetMode="External"/><Relationship Id="rId30" Type="http://schemas.openxmlformats.org/officeDocument/2006/relationships/hyperlink" Target="http://www.hse.gov.uk/fireandexplosion/dsear.ht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C50EA-DAA7-41B3-B2DC-7A116759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2019-02-18T16:24:00Z</dcterms:created>
  <dcterms:modified xsi:type="dcterms:W3CDTF">2019-02-18T16:24:00Z</dcterms:modified>
</cp:coreProperties>
</file>