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3D" w:rsidRDefault="00F9256E" w:rsidP="00FF2AC2">
      <w:pPr>
        <w:spacing w:before="240" w:after="0"/>
        <w:rPr>
          <w:b/>
          <w:color w:val="7030A0"/>
          <w:sz w:val="24"/>
        </w:rPr>
      </w:pPr>
      <w:bookmarkStart w:id="0" w:name="_GoBack"/>
      <w:bookmarkEnd w:id="0"/>
      <w:proofErr w:type="spellStart"/>
      <w:r>
        <w:rPr>
          <w:b/>
          <w:color w:val="7030A0"/>
          <w:sz w:val="24"/>
        </w:rPr>
        <w:t>L</w:t>
      </w:r>
      <w:r w:rsidR="00D04B6D">
        <w:rPr>
          <w:b/>
          <w:color w:val="7030A0"/>
          <w:sz w:val="24"/>
        </w:rPr>
        <w:t>andspreading</w:t>
      </w:r>
      <w:proofErr w:type="spellEnd"/>
    </w:p>
    <w:p w:rsidR="00A6136C" w:rsidRDefault="00A6136C" w:rsidP="00FF2AC2">
      <w:pPr>
        <w:spacing w:after="0"/>
        <w:rPr>
          <w:b/>
        </w:rPr>
      </w:pPr>
      <w:r>
        <w:rPr>
          <w:b/>
        </w:rPr>
        <w:t>Content Changes 2016-2018 Revision Guide</w:t>
      </w:r>
    </w:p>
    <w:p w:rsidR="00BD2179" w:rsidRPr="00BD2179" w:rsidRDefault="00BD2179" w:rsidP="00BD2179">
      <w:pPr>
        <w:spacing w:after="0"/>
        <w:rPr>
          <w:rFonts w:ascii="Calibri" w:eastAsia="Calibri" w:hAnsi="Calibri" w:cs="Times New Roman"/>
          <w:b/>
          <w:i/>
        </w:rPr>
      </w:pPr>
      <w:r w:rsidRPr="00BD2179">
        <w:rPr>
          <w:rFonts w:ascii="Calibri" w:eastAsia="Calibri" w:hAnsi="Calibri" w:cs="Times New Roman"/>
          <w:b/>
          <w:i/>
        </w:rPr>
        <w:t xml:space="preserve">All page numbers refer to the 2016-2018 Revision Guides with red covers. </w:t>
      </w:r>
    </w:p>
    <w:p w:rsidR="00BD2179" w:rsidRDefault="00BD2179" w:rsidP="00FF2AC2">
      <w:pPr>
        <w:spacing w:after="0"/>
        <w:rPr>
          <w:b/>
        </w:rPr>
      </w:pPr>
    </w:p>
    <w:p w:rsidR="008A2290" w:rsidRDefault="008A2290" w:rsidP="00FF2AC2">
      <w:pPr>
        <w:rPr>
          <w:i/>
          <w:color w:val="7030A0"/>
        </w:rPr>
      </w:pPr>
      <w:r>
        <w:rPr>
          <w:i/>
          <w:color w:val="7030A0"/>
        </w:rPr>
        <w:t xml:space="preserve">Section </w:t>
      </w:r>
      <w:r w:rsidR="00D04B6D">
        <w:rPr>
          <w:i/>
          <w:color w:val="7030A0"/>
        </w:rPr>
        <w:t>1</w:t>
      </w:r>
      <w:r>
        <w:rPr>
          <w:i/>
          <w:color w:val="7030A0"/>
        </w:rPr>
        <w:t xml:space="preserve">: </w:t>
      </w:r>
      <w:r w:rsidR="00D04B6D">
        <w:rPr>
          <w:i/>
          <w:color w:val="7030A0"/>
        </w:rPr>
        <w:t>Procedures and Non-</w:t>
      </w:r>
      <w:r w:rsidR="00B9530B">
        <w:rPr>
          <w:i/>
          <w:color w:val="7030A0"/>
        </w:rPr>
        <w:t>C</w:t>
      </w:r>
      <w:r w:rsidR="00D04B6D">
        <w:rPr>
          <w:i/>
          <w:color w:val="7030A0"/>
        </w:rPr>
        <w:t xml:space="preserve">onforming </w:t>
      </w:r>
      <w:r w:rsidR="00B9530B">
        <w:rPr>
          <w:i/>
          <w:color w:val="7030A0"/>
        </w:rPr>
        <w:t>W</w:t>
      </w:r>
      <w:r w:rsidR="00D04B6D">
        <w:rPr>
          <w:i/>
          <w:color w:val="7030A0"/>
        </w:rPr>
        <w:t>aste</w:t>
      </w:r>
      <w:r w:rsidR="00E57C78">
        <w:rPr>
          <w:i/>
          <w:color w:val="7030A0"/>
        </w:rPr>
        <w:t>, page 1</w:t>
      </w:r>
      <w:r w:rsidR="00D04B6D">
        <w:rPr>
          <w:i/>
          <w:color w:val="7030A0"/>
        </w:rPr>
        <w:t>3</w:t>
      </w:r>
    </w:p>
    <w:p w:rsidR="00D04B6D" w:rsidRPr="0032039B" w:rsidRDefault="00D04B6D" w:rsidP="00FF2AC2">
      <w:pPr>
        <w:spacing w:after="0"/>
      </w:pPr>
      <w:r>
        <w:t>If waste fails to meet waste acceptance criteria, then loads should be stored in a dedicated quarantine area for a maximum of 5 working days and dealt with appropriately.</w:t>
      </w:r>
    </w:p>
    <w:p w:rsidR="00F9256E" w:rsidRDefault="00F9256E" w:rsidP="00FF2AC2">
      <w:pPr>
        <w:spacing w:after="0"/>
      </w:pPr>
    </w:p>
    <w:p w:rsidR="00D04B6D" w:rsidRDefault="00D04B6D" w:rsidP="00FF2AC2">
      <w:pPr>
        <w:rPr>
          <w:i/>
          <w:color w:val="7030A0"/>
        </w:rPr>
      </w:pPr>
      <w:r>
        <w:rPr>
          <w:i/>
          <w:color w:val="7030A0"/>
        </w:rPr>
        <w:t>Section 1: Waste Transfer Notes, page 14</w:t>
      </w:r>
    </w:p>
    <w:p w:rsidR="00D04B6D" w:rsidRDefault="00D04B6D" w:rsidP="00FF2AC2">
      <w:r>
        <w:t>For each load of non-hazardous waste a waste producer moves off their premises, they need a waste transfer note.</w:t>
      </w:r>
    </w:p>
    <w:p w:rsidR="00D04B6D" w:rsidRPr="00D04B6D" w:rsidRDefault="00D04B6D" w:rsidP="00FF2AC2">
      <w:r w:rsidRPr="00D04B6D">
        <w:t>The Waste (England and Wales) Regulations 2011 state that “an establishment or undertaking which imports produces, collects, transports, recovers or disposes of waste, or which as a dealer or broker has control of waste must, on the transfer of waste, take all such measures available to it as are reasonable in the circumstances to apply the waste hierarchy.”</w:t>
      </w:r>
    </w:p>
    <w:p w:rsidR="00D04B6D" w:rsidRDefault="00D04B6D" w:rsidP="00FF2AC2">
      <w:pPr>
        <w:rPr>
          <w:i/>
          <w:color w:val="7030A0"/>
        </w:rPr>
      </w:pPr>
      <w:r>
        <w:rPr>
          <w:i/>
          <w:color w:val="7030A0"/>
        </w:rPr>
        <w:t>Section 2: Requirements, page 18</w:t>
      </w:r>
    </w:p>
    <w:p w:rsidR="00D04B6D" w:rsidRPr="00FE4701" w:rsidRDefault="00D04B6D" w:rsidP="00FF2AC2">
      <w:pPr>
        <w:spacing w:after="0"/>
      </w:pPr>
      <w:r>
        <w:t>Storage under these mobile plant permits allow the temporary storage of waste pending the appropriate timing or conditions for spreading during the 12 month deployment period only.</w:t>
      </w:r>
    </w:p>
    <w:p w:rsidR="00D04B6D" w:rsidRDefault="00D04B6D" w:rsidP="00FF2AC2">
      <w:pPr>
        <w:spacing w:after="0"/>
      </w:pPr>
    </w:p>
    <w:p w:rsidR="00D04B6D" w:rsidRDefault="00D04B6D" w:rsidP="00FF2AC2">
      <w:pPr>
        <w:spacing w:after="0"/>
      </w:pPr>
      <w:r>
        <w:t>When wastes are stored in temporary stockpiles or field heaps, it is best practice to:</w:t>
      </w:r>
    </w:p>
    <w:p w:rsidR="00D04B6D" w:rsidRDefault="00D04B6D" w:rsidP="00FF2AC2">
      <w:pPr>
        <w:spacing w:after="0"/>
      </w:pPr>
    </w:p>
    <w:p w:rsidR="00D04B6D" w:rsidRDefault="00D04B6D" w:rsidP="00FF2AC2">
      <w:pPr>
        <w:pStyle w:val="ListParagraph"/>
        <w:numPr>
          <w:ilvl w:val="0"/>
          <w:numId w:val="20"/>
        </w:numPr>
        <w:spacing w:after="0"/>
      </w:pPr>
      <w:r>
        <w:t xml:space="preserve">Not </w:t>
      </w:r>
      <w:r w:rsidR="001A7170">
        <w:t xml:space="preserve">store </w:t>
      </w:r>
      <w:r>
        <w:t>on land likely to become waterlogged, frozen or snow covered.</w:t>
      </w:r>
    </w:p>
    <w:p w:rsidR="00D04B6D" w:rsidRDefault="00D04B6D" w:rsidP="00FF2AC2">
      <w:pPr>
        <w:pStyle w:val="ListParagraph"/>
        <w:numPr>
          <w:ilvl w:val="0"/>
          <w:numId w:val="20"/>
        </w:numPr>
        <w:spacing w:after="0"/>
      </w:pPr>
      <w:r>
        <w:t xml:space="preserve">No </w:t>
      </w:r>
      <w:proofErr w:type="spellStart"/>
      <w:r>
        <w:t>odourous</w:t>
      </w:r>
      <w:proofErr w:type="spellEnd"/>
      <w:r>
        <w:t xml:space="preserve"> waste within 250m of a residential property or workplace.</w:t>
      </w:r>
    </w:p>
    <w:p w:rsidR="00D04B6D" w:rsidRDefault="00D04B6D" w:rsidP="00FF2AC2">
      <w:pPr>
        <w:pStyle w:val="ListParagraph"/>
        <w:numPr>
          <w:ilvl w:val="0"/>
          <w:numId w:val="20"/>
        </w:numPr>
        <w:spacing w:after="0"/>
      </w:pPr>
      <w:r>
        <w:t xml:space="preserve">Not </w:t>
      </w:r>
      <w:r w:rsidR="001A7170">
        <w:t xml:space="preserve">store </w:t>
      </w:r>
      <w:r>
        <w:t>on land likely to flood.</w:t>
      </w:r>
    </w:p>
    <w:p w:rsidR="004B1C42" w:rsidRDefault="004B1C42" w:rsidP="004B1C42">
      <w:pPr>
        <w:pStyle w:val="ListParagraph"/>
        <w:spacing w:after="0"/>
        <w:ind w:left="360"/>
      </w:pPr>
    </w:p>
    <w:p w:rsidR="004B1C42" w:rsidRDefault="004B1C42" w:rsidP="004B1C42">
      <w:pPr>
        <w:pStyle w:val="ListParagraph"/>
        <w:spacing w:after="0"/>
        <w:ind w:left="360"/>
      </w:pPr>
    </w:p>
    <w:p w:rsidR="00FF2AC2" w:rsidRDefault="00D04B6D" w:rsidP="00FF2AC2">
      <w:pPr>
        <w:pStyle w:val="ListParagraph"/>
        <w:numPr>
          <w:ilvl w:val="0"/>
          <w:numId w:val="20"/>
        </w:numPr>
        <w:spacing w:after="0"/>
      </w:pPr>
      <w:r>
        <w:t xml:space="preserve">Not </w:t>
      </w:r>
      <w:r w:rsidR="001A7170">
        <w:t xml:space="preserve">store </w:t>
      </w:r>
      <w:r>
        <w:t>on steeply sloping ground where there is a risk of run off.</w:t>
      </w:r>
    </w:p>
    <w:p w:rsidR="00D04B6D" w:rsidRDefault="00D04B6D" w:rsidP="00FF2AC2">
      <w:pPr>
        <w:pStyle w:val="ListParagraph"/>
        <w:numPr>
          <w:ilvl w:val="0"/>
          <w:numId w:val="20"/>
        </w:numPr>
        <w:spacing w:after="0"/>
      </w:pPr>
      <w:r>
        <w:t xml:space="preserve">Not </w:t>
      </w:r>
      <w:r w:rsidR="00900196">
        <w:t>store o</w:t>
      </w:r>
      <w:r>
        <w:t>n any single ground where there is a risk of run off.</w:t>
      </w:r>
    </w:p>
    <w:p w:rsidR="00D04B6D" w:rsidRDefault="00D04B6D" w:rsidP="00FF2AC2">
      <w:pPr>
        <w:pStyle w:val="ListParagraph"/>
        <w:numPr>
          <w:ilvl w:val="0"/>
          <w:numId w:val="20"/>
        </w:numPr>
        <w:spacing w:after="0"/>
      </w:pPr>
      <w:r>
        <w:t xml:space="preserve">Not </w:t>
      </w:r>
      <w:r w:rsidR="00900196">
        <w:t xml:space="preserve">store </w:t>
      </w:r>
      <w:r>
        <w:t>in any single position, on bare soil, for more than 12 months.</w:t>
      </w:r>
    </w:p>
    <w:p w:rsidR="00FE1A25" w:rsidRDefault="00D04B6D" w:rsidP="00FF2AC2">
      <w:pPr>
        <w:pStyle w:val="ListParagraph"/>
        <w:numPr>
          <w:ilvl w:val="0"/>
          <w:numId w:val="20"/>
        </w:numPr>
        <w:spacing w:after="0"/>
      </w:pPr>
      <w:r>
        <w:t>Not</w:t>
      </w:r>
      <w:r w:rsidR="00900196">
        <w:t xml:space="preserve"> store</w:t>
      </w:r>
      <w:r>
        <w:t xml:space="preserve"> over drains or land drained in the last 12 months.</w:t>
      </w:r>
    </w:p>
    <w:p w:rsidR="00FF2AC2" w:rsidRPr="00FF2AC2" w:rsidRDefault="00FF2AC2" w:rsidP="00FF2AC2">
      <w:pPr>
        <w:pStyle w:val="ListParagraph"/>
        <w:spacing w:after="0"/>
        <w:ind w:left="360"/>
      </w:pPr>
    </w:p>
    <w:p w:rsidR="00D04B6D" w:rsidRPr="00D04B6D" w:rsidRDefault="00D04B6D" w:rsidP="00FF2AC2">
      <w:pPr>
        <w:rPr>
          <w:i/>
          <w:color w:val="7030A0"/>
        </w:rPr>
      </w:pPr>
      <w:r w:rsidRPr="00D04B6D">
        <w:rPr>
          <w:i/>
          <w:color w:val="7030A0"/>
        </w:rPr>
        <w:t xml:space="preserve">Section </w:t>
      </w:r>
      <w:r>
        <w:rPr>
          <w:i/>
          <w:color w:val="7030A0"/>
        </w:rPr>
        <w:t>3</w:t>
      </w:r>
      <w:r w:rsidRPr="00D04B6D">
        <w:rPr>
          <w:i/>
          <w:color w:val="7030A0"/>
        </w:rPr>
        <w:t xml:space="preserve">: </w:t>
      </w:r>
      <w:r>
        <w:rPr>
          <w:i/>
          <w:color w:val="7030A0"/>
        </w:rPr>
        <w:t>Approval Process</w:t>
      </w:r>
      <w:r w:rsidRPr="00D04B6D">
        <w:rPr>
          <w:i/>
          <w:color w:val="7030A0"/>
        </w:rPr>
        <w:t xml:space="preserve">, page </w:t>
      </w:r>
      <w:r>
        <w:rPr>
          <w:i/>
          <w:color w:val="7030A0"/>
        </w:rPr>
        <w:t>2</w:t>
      </w:r>
      <w:r w:rsidR="00833557">
        <w:rPr>
          <w:i/>
          <w:color w:val="7030A0"/>
        </w:rPr>
        <w:t>5</w:t>
      </w:r>
    </w:p>
    <w:p w:rsidR="00D04B6D" w:rsidRPr="00D04B6D" w:rsidRDefault="00D04B6D" w:rsidP="00FF2AC2">
      <w:r w:rsidRPr="00D04B6D">
        <w:t>Operators with land spreading permits are also required to identify all potentially beneficial and harmful properties of a waste in their deployment applications.</w:t>
      </w:r>
    </w:p>
    <w:p w:rsidR="00D04B6D" w:rsidRPr="00D04B6D" w:rsidRDefault="00D04B6D" w:rsidP="00FF2AC2">
      <w:pPr>
        <w:rPr>
          <w:sz w:val="24"/>
        </w:rPr>
      </w:pPr>
      <w:r w:rsidRPr="00D04B6D">
        <w:t>A benefit statement is an assessment that shows benefit will be conferred by spreading waste.</w:t>
      </w:r>
    </w:p>
    <w:p w:rsidR="00D04B6D" w:rsidRDefault="00D04B6D" w:rsidP="00FF2AC2">
      <w:pPr>
        <w:rPr>
          <w:i/>
          <w:color w:val="7030A0"/>
        </w:rPr>
      </w:pPr>
      <w:r w:rsidRPr="00D04B6D">
        <w:rPr>
          <w:i/>
          <w:color w:val="7030A0"/>
        </w:rPr>
        <w:t xml:space="preserve">Section </w:t>
      </w:r>
      <w:r>
        <w:rPr>
          <w:i/>
          <w:color w:val="7030A0"/>
        </w:rPr>
        <w:t>3</w:t>
      </w:r>
      <w:r w:rsidRPr="00D04B6D">
        <w:rPr>
          <w:i/>
          <w:color w:val="7030A0"/>
        </w:rPr>
        <w:t xml:space="preserve">: </w:t>
      </w:r>
      <w:r>
        <w:rPr>
          <w:i/>
          <w:color w:val="7030A0"/>
        </w:rPr>
        <w:t>Environmental Management System</w:t>
      </w:r>
      <w:r w:rsidRPr="00D04B6D">
        <w:rPr>
          <w:i/>
          <w:color w:val="7030A0"/>
        </w:rPr>
        <w:t xml:space="preserve">, page </w:t>
      </w:r>
      <w:r>
        <w:rPr>
          <w:i/>
          <w:color w:val="7030A0"/>
        </w:rPr>
        <w:t>2</w:t>
      </w:r>
      <w:r w:rsidR="00833557">
        <w:rPr>
          <w:i/>
          <w:color w:val="7030A0"/>
        </w:rPr>
        <w:t>7</w:t>
      </w:r>
    </w:p>
    <w:p w:rsidR="00D04B6D" w:rsidRDefault="00D04B6D" w:rsidP="00FF2AC2">
      <w:r>
        <w:t>An environmental permit requires a site operator to have a written management system which outlines the procedures for minimising the risk of pollution from the activities covered by the permit.</w:t>
      </w:r>
    </w:p>
    <w:p w:rsidR="00D04B6D" w:rsidRPr="00512691" w:rsidRDefault="00D04B6D" w:rsidP="00FF2AC2">
      <w:r>
        <w:t>The volume of information provided in the management system depends on the complexity of</w:t>
      </w:r>
      <w:r w:rsidR="00B23ECC">
        <w:t>,</w:t>
      </w:r>
      <w:r>
        <w:t xml:space="preserve"> and risk posed by the activity.</w:t>
      </w:r>
    </w:p>
    <w:p w:rsidR="00FE1A25" w:rsidRDefault="00FE1A25" w:rsidP="00FF2AC2">
      <w:pPr>
        <w:rPr>
          <w:i/>
          <w:color w:val="7030A0"/>
        </w:rPr>
      </w:pPr>
      <w:r w:rsidRPr="00D04B6D">
        <w:rPr>
          <w:i/>
          <w:color w:val="7030A0"/>
        </w:rPr>
        <w:t xml:space="preserve">Section </w:t>
      </w:r>
      <w:r>
        <w:rPr>
          <w:i/>
          <w:color w:val="7030A0"/>
        </w:rPr>
        <w:t>3</w:t>
      </w:r>
      <w:r w:rsidRPr="00D04B6D">
        <w:rPr>
          <w:i/>
          <w:color w:val="7030A0"/>
        </w:rPr>
        <w:t xml:space="preserve">: </w:t>
      </w:r>
      <w:r>
        <w:rPr>
          <w:i/>
          <w:color w:val="7030A0"/>
        </w:rPr>
        <w:t>Risk Assessment and Control Measures</w:t>
      </w:r>
      <w:r w:rsidRPr="00D04B6D">
        <w:rPr>
          <w:i/>
          <w:color w:val="7030A0"/>
        </w:rPr>
        <w:t xml:space="preserve">, page </w:t>
      </w:r>
      <w:r>
        <w:rPr>
          <w:i/>
          <w:color w:val="7030A0"/>
        </w:rPr>
        <w:t>2</w:t>
      </w:r>
      <w:r w:rsidR="00833557">
        <w:rPr>
          <w:i/>
          <w:color w:val="7030A0"/>
        </w:rPr>
        <w:t>8</w:t>
      </w:r>
    </w:p>
    <w:p w:rsidR="00FE1A25" w:rsidRDefault="00FE1A25" w:rsidP="00FF2AC2">
      <w:pPr>
        <w:pStyle w:val="requirements"/>
        <w:spacing w:after="0" w:line="276" w:lineRule="auto"/>
        <w:rPr>
          <w:i w:val="0"/>
          <w:sz w:val="22"/>
        </w:rPr>
      </w:pPr>
      <w:r w:rsidRPr="00C4161A">
        <w:rPr>
          <w:i w:val="0"/>
          <w:sz w:val="22"/>
        </w:rPr>
        <w:t>The operational controls before, during (and in some cases after) applying waste greatly affects the potential impact of the waste-to-land activity. These controls may include:</w:t>
      </w:r>
    </w:p>
    <w:p w:rsidR="00FE1A25" w:rsidRPr="00C4161A" w:rsidRDefault="00FE1A25" w:rsidP="00FF2AC2">
      <w:pPr>
        <w:pStyle w:val="requirements"/>
        <w:spacing w:after="0" w:line="276" w:lineRule="auto"/>
        <w:rPr>
          <w:i w:val="0"/>
          <w:sz w:val="22"/>
        </w:rPr>
      </w:pPr>
    </w:p>
    <w:p w:rsidR="00FE1A25" w:rsidRPr="00C4161A" w:rsidRDefault="00FE1A25" w:rsidP="00FF2AC2">
      <w:pPr>
        <w:pStyle w:val="requirements"/>
        <w:numPr>
          <w:ilvl w:val="0"/>
          <w:numId w:val="21"/>
        </w:numPr>
        <w:spacing w:after="0" w:line="276" w:lineRule="auto"/>
        <w:rPr>
          <w:i w:val="0"/>
          <w:sz w:val="22"/>
        </w:rPr>
      </w:pPr>
      <w:r w:rsidRPr="00C4161A">
        <w:rPr>
          <w:i w:val="0"/>
          <w:sz w:val="22"/>
        </w:rPr>
        <w:t>Method of surface spreading</w:t>
      </w:r>
      <w:r>
        <w:rPr>
          <w:i w:val="0"/>
          <w:sz w:val="22"/>
        </w:rPr>
        <w:t>.</w:t>
      </w:r>
    </w:p>
    <w:p w:rsidR="00FE1A25" w:rsidRPr="00C4161A" w:rsidRDefault="00FE1A25" w:rsidP="00FF2AC2">
      <w:pPr>
        <w:pStyle w:val="requirements"/>
        <w:numPr>
          <w:ilvl w:val="0"/>
          <w:numId w:val="21"/>
        </w:numPr>
        <w:spacing w:after="0" w:line="276" w:lineRule="auto"/>
        <w:rPr>
          <w:i w:val="0"/>
          <w:sz w:val="22"/>
        </w:rPr>
      </w:pPr>
      <w:r w:rsidRPr="00C4161A">
        <w:rPr>
          <w:i w:val="0"/>
          <w:sz w:val="22"/>
        </w:rPr>
        <w:t>Buffer zones</w:t>
      </w:r>
      <w:r>
        <w:rPr>
          <w:i w:val="0"/>
          <w:sz w:val="22"/>
        </w:rPr>
        <w:t>.</w:t>
      </w:r>
    </w:p>
    <w:p w:rsidR="00FE1A25" w:rsidRPr="00C4161A" w:rsidRDefault="00FE1A25" w:rsidP="00FF2AC2">
      <w:pPr>
        <w:pStyle w:val="requirements"/>
        <w:numPr>
          <w:ilvl w:val="0"/>
          <w:numId w:val="21"/>
        </w:numPr>
        <w:spacing w:after="0" w:line="276" w:lineRule="auto"/>
        <w:rPr>
          <w:i w:val="0"/>
          <w:sz w:val="22"/>
        </w:rPr>
      </w:pPr>
      <w:r w:rsidRPr="00C4161A">
        <w:rPr>
          <w:i w:val="0"/>
          <w:sz w:val="22"/>
        </w:rPr>
        <w:t>Spreading at optimum time of the year for nutrient recovery</w:t>
      </w:r>
      <w:r>
        <w:rPr>
          <w:i w:val="0"/>
          <w:sz w:val="22"/>
        </w:rPr>
        <w:t>.</w:t>
      </w:r>
    </w:p>
    <w:p w:rsidR="00FE1A25" w:rsidRDefault="00FE1A25" w:rsidP="00FF2AC2">
      <w:pPr>
        <w:pStyle w:val="requirements"/>
        <w:numPr>
          <w:ilvl w:val="0"/>
          <w:numId w:val="21"/>
        </w:numPr>
        <w:spacing w:after="0" w:line="276" w:lineRule="auto"/>
        <w:rPr>
          <w:i w:val="0"/>
          <w:sz w:val="22"/>
        </w:rPr>
      </w:pPr>
      <w:r w:rsidRPr="00C4161A">
        <w:rPr>
          <w:i w:val="0"/>
          <w:sz w:val="22"/>
        </w:rPr>
        <w:t>Shallow or deep injecting</w:t>
      </w:r>
      <w:r>
        <w:rPr>
          <w:i w:val="0"/>
          <w:sz w:val="22"/>
        </w:rPr>
        <w:t>.</w:t>
      </w:r>
    </w:p>
    <w:p w:rsidR="00FF2AC2" w:rsidRPr="00FF2AC2" w:rsidRDefault="00FF2AC2" w:rsidP="00FF2AC2">
      <w:pPr>
        <w:pStyle w:val="requirements"/>
        <w:spacing w:after="0" w:line="276" w:lineRule="auto"/>
        <w:rPr>
          <w:i w:val="0"/>
          <w:sz w:val="40"/>
        </w:rPr>
      </w:pPr>
    </w:p>
    <w:p w:rsidR="00FE1A25" w:rsidRPr="00C4161A" w:rsidRDefault="00FE1A25" w:rsidP="00FF2AC2">
      <w:pPr>
        <w:pStyle w:val="requirements"/>
        <w:numPr>
          <w:ilvl w:val="0"/>
          <w:numId w:val="21"/>
        </w:numPr>
        <w:spacing w:after="0" w:line="276" w:lineRule="auto"/>
        <w:rPr>
          <w:i w:val="0"/>
          <w:sz w:val="22"/>
        </w:rPr>
      </w:pPr>
      <w:r w:rsidRPr="00C4161A">
        <w:rPr>
          <w:i w:val="0"/>
          <w:sz w:val="22"/>
        </w:rPr>
        <w:t>Timeliness of incorporation into the soil following surface spreading.</w:t>
      </w:r>
    </w:p>
    <w:p w:rsidR="00D04B6D" w:rsidRPr="00D04B6D" w:rsidRDefault="00D04B6D" w:rsidP="00FF2AC2">
      <w:pPr>
        <w:spacing w:after="0"/>
        <w:rPr>
          <w:i/>
          <w:color w:val="7030A0"/>
        </w:rPr>
      </w:pPr>
    </w:p>
    <w:p w:rsidR="00D04B6D" w:rsidRPr="00FE1A25" w:rsidRDefault="00FE1A25" w:rsidP="00FF2AC2">
      <w:r w:rsidRPr="00FE1A25">
        <w:t>If any operation is within a Groundwater Source Protection Zone (SPZ) 2 and/or 500m of a European site or SSSI, a site specific assessment must be submitted with the deployment application.</w:t>
      </w:r>
    </w:p>
    <w:p w:rsidR="00FE1A25" w:rsidRPr="00FF2AC2" w:rsidRDefault="00FE1A25" w:rsidP="00FF2AC2">
      <w:pPr>
        <w:rPr>
          <w:i/>
          <w:color w:val="7030A0"/>
        </w:rPr>
      </w:pPr>
      <w:r>
        <w:rPr>
          <w:i/>
          <w:color w:val="7030A0"/>
        </w:rPr>
        <w:t>NEW Learning Outcomes 3.6: Know the difference between a soil substitute and a soil conditioner.</w:t>
      </w:r>
    </w:p>
    <w:p w:rsidR="00FE1A25" w:rsidRDefault="00FE1A25" w:rsidP="00FF2AC2">
      <w:pPr>
        <w:rPr>
          <w:i/>
          <w:color w:val="7030A0"/>
        </w:rPr>
      </w:pPr>
      <w:r w:rsidRPr="00D04B6D">
        <w:rPr>
          <w:i/>
          <w:color w:val="7030A0"/>
        </w:rPr>
        <w:t xml:space="preserve">Section </w:t>
      </w:r>
      <w:r>
        <w:rPr>
          <w:i/>
          <w:color w:val="7030A0"/>
        </w:rPr>
        <w:t>4</w:t>
      </w:r>
      <w:r w:rsidRPr="00D04B6D">
        <w:rPr>
          <w:i/>
          <w:color w:val="7030A0"/>
        </w:rPr>
        <w:t xml:space="preserve">: </w:t>
      </w:r>
      <w:r>
        <w:rPr>
          <w:i/>
          <w:color w:val="7030A0"/>
        </w:rPr>
        <w:t>Managing Odour</w:t>
      </w:r>
      <w:r w:rsidRPr="00D04B6D">
        <w:rPr>
          <w:i/>
          <w:color w:val="7030A0"/>
        </w:rPr>
        <w:t xml:space="preserve">, page </w:t>
      </w:r>
      <w:r>
        <w:rPr>
          <w:i/>
          <w:color w:val="7030A0"/>
        </w:rPr>
        <w:t>3</w:t>
      </w:r>
      <w:r w:rsidR="00833557">
        <w:rPr>
          <w:i/>
          <w:color w:val="7030A0"/>
        </w:rPr>
        <w:t>4</w:t>
      </w:r>
    </w:p>
    <w:p w:rsidR="00FE1A25" w:rsidRPr="00017CC4" w:rsidRDefault="00FE1A25" w:rsidP="00FF2AC2">
      <w:r w:rsidRPr="00017CC4">
        <w:t>An odour management plan will need to consider the measures taken to control odour, including:</w:t>
      </w:r>
    </w:p>
    <w:p w:rsidR="00FE1A25" w:rsidRPr="00017CC4" w:rsidRDefault="00FE1A25" w:rsidP="00FF2AC2">
      <w:pPr>
        <w:numPr>
          <w:ilvl w:val="0"/>
          <w:numId w:val="22"/>
        </w:numPr>
        <w:spacing w:after="0"/>
      </w:pPr>
      <w:r w:rsidRPr="00017CC4">
        <w:t>Monitoring.</w:t>
      </w:r>
    </w:p>
    <w:p w:rsidR="00FE1A25" w:rsidRPr="00017CC4" w:rsidRDefault="00FE1A25" w:rsidP="00FF2AC2">
      <w:pPr>
        <w:numPr>
          <w:ilvl w:val="0"/>
          <w:numId w:val="22"/>
        </w:numPr>
        <w:spacing w:after="0"/>
      </w:pPr>
      <w:r w:rsidRPr="00017CC4">
        <w:t>Controlling evaporation.</w:t>
      </w:r>
    </w:p>
    <w:p w:rsidR="00FE1A25" w:rsidRPr="00017CC4" w:rsidRDefault="00FE1A25" w:rsidP="00FF2AC2">
      <w:pPr>
        <w:numPr>
          <w:ilvl w:val="0"/>
          <w:numId w:val="22"/>
        </w:numPr>
        <w:spacing w:after="0"/>
      </w:pPr>
      <w:r w:rsidRPr="00017CC4">
        <w:t>Containment and abatement.</w:t>
      </w:r>
    </w:p>
    <w:p w:rsidR="00FE1A25" w:rsidRPr="00017CC4" w:rsidRDefault="00FE1A25" w:rsidP="00FF2AC2">
      <w:pPr>
        <w:numPr>
          <w:ilvl w:val="0"/>
          <w:numId w:val="22"/>
        </w:numPr>
        <w:spacing w:after="0"/>
      </w:pPr>
      <w:r w:rsidRPr="00017CC4">
        <w:t>Dispersion.</w:t>
      </w:r>
    </w:p>
    <w:p w:rsidR="00FE1A25" w:rsidRPr="00017CC4" w:rsidRDefault="00FE1A25" w:rsidP="00FF2AC2">
      <w:pPr>
        <w:numPr>
          <w:ilvl w:val="0"/>
          <w:numId w:val="22"/>
        </w:numPr>
      </w:pPr>
      <w:r w:rsidRPr="00017CC4">
        <w:t>Reducing the risk of odour</w:t>
      </w:r>
      <w:r w:rsidR="005B3C85">
        <w:t>-</w:t>
      </w:r>
      <w:r w:rsidRPr="00017CC4">
        <w:t>releasing incidents or accidents and minimising pollution.</w:t>
      </w:r>
    </w:p>
    <w:p w:rsidR="00FE1A25" w:rsidRPr="00FE1A25" w:rsidRDefault="00FE1A25" w:rsidP="00FF2AC2">
      <w:pPr>
        <w:rPr>
          <w:i/>
          <w:color w:val="7030A0"/>
        </w:rPr>
      </w:pPr>
      <w:r w:rsidRPr="00FE1A25">
        <w:rPr>
          <w:i/>
          <w:color w:val="7030A0"/>
        </w:rPr>
        <w:t xml:space="preserve">Section 4: </w:t>
      </w:r>
      <w:r>
        <w:rPr>
          <w:i/>
          <w:color w:val="7030A0"/>
        </w:rPr>
        <w:t>Spillages and Data</w:t>
      </w:r>
      <w:r w:rsidRPr="00FE1A25">
        <w:rPr>
          <w:i/>
          <w:color w:val="7030A0"/>
        </w:rPr>
        <w:t>, page 3</w:t>
      </w:r>
      <w:r w:rsidR="00833557">
        <w:rPr>
          <w:i/>
          <w:color w:val="7030A0"/>
        </w:rPr>
        <w:t>5</w:t>
      </w:r>
    </w:p>
    <w:p w:rsidR="00FE1A25" w:rsidRDefault="00FE1A25" w:rsidP="00FF2AC2">
      <w:pPr>
        <w:rPr>
          <w:lang w:val="en"/>
        </w:rPr>
      </w:pPr>
      <w:r w:rsidRPr="00AC2DD7">
        <w:rPr>
          <w:b/>
          <w:lang w:val="en"/>
        </w:rPr>
        <w:t>Pollution</w:t>
      </w:r>
      <w:r>
        <w:rPr>
          <w:lang w:val="en"/>
        </w:rPr>
        <w:t xml:space="preserve"> is when any substance that harms or could harm people or the environment gets into the air, water or ground.</w:t>
      </w:r>
    </w:p>
    <w:p w:rsidR="00FE1A25" w:rsidRDefault="00FE1A25" w:rsidP="00FF2AC2">
      <w:pPr>
        <w:rPr>
          <w:lang w:val="en"/>
        </w:rPr>
      </w:pPr>
      <w:r>
        <w:rPr>
          <w:lang w:val="en"/>
        </w:rPr>
        <w:t>It</w:t>
      </w:r>
      <w:r w:rsidR="00DD2B00">
        <w:rPr>
          <w:lang w:val="en"/>
        </w:rPr>
        <w:t xml:space="preserve"> i</w:t>
      </w:r>
      <w:r>
        <w:rPr>
          <w:lang w:val="en"/>
        </w:rPr>
        <w:t>s not just hazardous substances that can harm people or the environment. Any substance that’s not found naturally in an environment could cause pollution, and in certain circumstances even natural substances can pollute.</w:t>
      </w:r>
    </w:p>
    <w:p w:rsidR="00FE1A25" w:rsidRPr="003A1A24" w:rsidRDefault="00FE1A25" w:rsidP="00FF2AC2">
      <w:r>
        <w:rPr>
          <w:lang w:val="en"/>
        </w:rPr>
        <w:t>If polluting materials have entered or could enter a watercourse or soak into the ground (e.g. from a leak or uncontained spill), the operator should contact the environmental regulator.</w:t>
      </w:r>
    </w:p>
    <w:p w:rsidR="00FF2AC2" w:rsidRDefault="00FF2AC2" w:rsidP="00FF2AC2">
      <w:pPr>
        <w:rPr>
          <w:b/>
        </w:rPr>
      </w:pPr>
    </w:p>
    <w:p w:rsidR="00FE1A25" w:rsidRPr="00FF2AC2" w:rsidRDefault="00FE1A25" w:rsidP="00FF2AC2">
      <w:pPr>
        <w:rPr>
          <w:b/>
          <w:color w:val="7030A0"/>
        </w:rPr>
      </w:pPr>
      <w:r w:rsidRPr="00FF2AC2">
        <w:rPr>
          <w:b/>
          <w:color w:val="7030A0"/>
        </w:rPr>
        <w:t>Drain Plan</w:t>
      </w:r>
    </w:p>
    <w:p w:rsidR="00FE1A25" w:rsidRPr="00017CC4" w:rsidRDefault="00FE1A25" w:rsidP="00FF2AC2">
      <w:pPr>
        <w:spacing w:after="0"/>
      </w:pPr>
      <w:r w:rsidRPr="00017CC4">
        <w:t>Operators should make a plan of where the drains are on site to help with maintenance and deal more effectively with pollution if there is a spill, leak or other incident.</w:t>
      </w:r>
    </w:p>
    <w:p w:rsidR="00FE1A25" w:rsidRPr="00017CC4" w:rsidRDefault="00FE1A25" w:rsidP="00FF2AC2">
      <w:pPr>
        <w:spacing w:after="0"/>
      </w:pPr>
    </w:p>
    <w:p w:rsidR="00FE1A25" w:rsidRPr="00017CC4" w:rsidRDefault="00FE1A25" w:rsidP="00FF2AC2">
      <w:pPr>
        <w:spacing w:after="0"/>
      </w:pPr>
      <w:r w:rsidRPr="00017CC4">
        <w:t>The plan should cover:</w:t>
      </w:r>
    </w:p>
    <w:p w:rsidR="00FE1A25" w:rsidRPr="00017CC4" w:rsidRDefault="00FE1A25" w:rsidP="00FF2AC2">
      <w:pPr>
        <w:spacing w:after="0"/>
      </w:pPr>
    </w:p>
    <w:p w:rsidR="00FE1A25" w:rsidRPr="00017CC4" w:rsidRDefault="00FE1A25" w:rsidP="00FF2AC2">
      <w:pPr>
        <w:pStyle w:val="ListParagraph"/>
        <w:numPr>
          <w:ilvl w:val="0"/>
          <w:numId w:val="23"/>
        </w:numPr>
        <w:spacing w:after="0"/>
      </w:pPr>
      <w:r w:rsidRPr="00017CC4">
        <w:t>Where the drains are.</w:t>
      </w:r>
    </w:p>
    <w:p w:rsidR="00FE1A25" w:rsidRPr="00017CC4" w:rsidRDefault="00FE1A25" w:rsidP="00FF2AC2">
      <w:pPr>
        <w:pStyle w:val="ListParagraph"/>
        <w:numPr>
          <w:ilvl w:val="0"/>
          <w:numId w:val="23"/>
        </w:numPr>
        <w:spacing w:after="0"/>
      </w:pPr>
      <w:r w:rsidRPr="00017CC4">
        <w:t>The types of drains.</w:t>
      </w:r>
    </w:p>
    <w:p w:rsidR="00FE1A25" w:rsidRPr="00017CC4" w:rsidRDefault="00FE1A25" w:rsidP="00FF2AC2">
      <w:pPr>
        <w:pStyle w:val="ListParagraph"/>
        <w:numPr>
          <w:ilvl w:val="0"/>
          <w:numId w:val="23"/>
        </w:numPr>
        <w:spacing w:after="0"/>
      </w:pPr>
      <w:r w:rsidRPr="00017CC4">
        <w:t>Direction of flow.</w:t>
      </w:r>
    </w:p>
    <w:p w:rsidR="00FE1A25" w:rsidRPr="00017CC4" w:rsidRDefault="00FE1A25" w:rsidP="00FF2AC2">
      <w:pPr>
        <w:pStyle w:val="ListParagraph"/>
        <w:numPr>
          <w:ilvl w:val="0"/>
          <w:numId w:val="23"/>
        </w:numPr>
        <w:spacing w:after="0"/>
      </w:pPr>
      <w:r w:rsidRPr="00017CC4">
        <w:t>Where the drains leave the property.</w:t>
      </w:r>
    </w:p>
    <w:p w:rsidR="00FE1A25" w:rsidRPr="00017CC4" w:rsidRDefault="00FE1A25" w:rsidP="00FF2AC2">
      <w:pPr>
        <w:pStyle w:val="ListParagraph"/>
        <w:numPr>
          <w:ilvl w:val="0"/>
          <w:numId w:val="23"/>
        </w:numPr>
        <w:spacing w:after="0"/>
      </w:pPr>
      <w:r w:rsidRPr="00017CC4">
        <w:t>Where the drains discharge.</w:t>
      </w:r>
    </w:p>
    <w:p w:rsidR="00FF2AC2" w:rsidRPr="00FF2AC2" w:rsidRDefault="00FF2AC2" w:rsidP="00FF2AC2">
      <w:pPr>
        <w:spacing w:after="0"/>
        <w:rPr>
          <w:color w:val="00B050"/>
        </w:rPr>
      </w:pPr>
    </w:p>
    <w:p w:rsidR="00FE1A25" w:rsidRPr="00FE1A25" w:rsidRDefault="00FE1A25" w:rsidP="00FF2AC2">
      <w:pPr>
        <w:rPr>
          <w:i/>
          <w:color w:val="7030A0"/>
        </w:rPr>
      </w:pPr>
      <w:r w:rsidRPr="00FE1A25">
        <w:rPr>
          <w:i/>
          <w:color w:val="7030A0"/>
        </w:rPr>
        <w:t xml:space="preserve">Section 4: </w:t>
      </w:r>
      <w:r>
        <w:rPr>
          <w:i/>
          <w:color w:val="7030A0"/>
        </w:rPr>
        <w:t>Spreading Techniques</w:t>
      </w:r>
      <w:r w:rsidRPr="00FE1A25">
        <w:rPr>
          <w:i/>
          <w:color w:val="7030A0"/>
        </w:rPr>
        <w:t>, page 3</w:t>
      </w:r>
      <w:r w:rsidR="00833557">
        <w:rPr>
          <w:i/>
          <w:color w:val="7030A0"/>
        </w:rPr>
        <w:t>6</w:t>
      </w:r>
    </w:p>
    <w:p w:rsidR="00FE1A25" w:rsidRPr="00017CC4" w:rsidRDefault="00FE1A25" w:rsidP="00FF2AC2">
      <w:r w:rsidRPr="00017CC4">
        <w:t>Adjusting the soil’s water content can be beneficial, but there are potential negative impacts. For example, certain spreading techniques can lead to drainage to, and pollution of, groundwater or surface water.</w:t>
      </w:r>
    </w:p>
    <w:p w:rsidR="00FE1A25" w:rsidRPr="00FE1A25" w:rsidRDefault="002242C7" w:rsidP="00FF2AC2">
      <w:pPr>
        <w:rPr>
          <w:b/>
        </w:rPr>
      </w:pPr>
      <w:r>
        <w:rPr>
          <w:noProof/>
          <w:lang w:eastAsia="en-GB"/>
        </w:rPr>
        <w:drawing>
          <wp:anchor distT="341376" distB="348615" distL="455676" distR="571119" simplePos="0" relativeHeight="251659264" behindDoc="1" locked="0" layoutInCell="1" allowOverlap="1" wp14:anchorId="0AF2B62E" wp14:editId="1C43C28D">
            <wp:simplePos x="0" y="0"/>
            <wp:positionH relativeFrom="column">
              <wp:posOffset>-194945</wp:posOffset>
            </wp:positionH>
            <wp:positionV relativeFrom="paragraph">
              <wp:posOffset>213360</wp:posOffset>
            </wp:positionV>
            <wp:extent cx="3272790" cy="3524250"/>
            <wp:effectExtent l="400050" t="323850" r="537210" b="342900"/>
            <wp:wrapNone/>
            <wp:docPr id="143" name="Picture 2" descr="C:\Users\helen\Downloads\iStock_000037261070_Dou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helen\Downloads\iStock_000037261070_Doubl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7857" b="14048"/>
                    <a:stretch/>
                  </pic:blipFill>
                  <pic:spPr bwMode="auto">
                    <a:xfrm>
                      <a:off x="0" y="0"/>
                      <a:ext cx="3272790" cy="352425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E1A25" w:rsidRDefault="00FE1A25" w:rsidP="00972763">
      <w:pPr>
        <w:sectPr w:rsidR="00FE1A25" w:rsidSect="00033393">
          <w:headerReference w:type="default" r:id="rId10"/>
          <w:footerReference w:type="default" r:id="rId11"/>
          <w:pgSz w:w="11906" w:h="16838"/>
          <w:pgMar w:top="1440" w:right="1440" w:bottom="1440" w:left="1440" w:header="708" w:footer="708" w:gutter="0"/>
          <w:cols w:num="2" w:space="708"/>
          <w:docGrid w:linePitch="360"/>
        </w:sectPr>
      </w:pPr>
    </w:p>
    <w:p w:rsidR="009B5506" w:rsidRDefault="009B5506" w:rsidP="009253D5">
      <w:pPr>
        <w:spacing w:before="240" w:after="0"/>
        <w:rPr>
          <w:i/>
          <w:color w:val="7030A0"/>
        </w:rPr>
      </w:pPr>
    </w:p>
    <w:p w:rsidR="00C02BF3" w:rsidRPr="00C02BF3" w:rsidRDefault="00C02BF3" w:rsidP="00C02BF3">
      <w:pPr>
        <w:rPr>
          <w:i/>
          <w:color w:val="7030A0"/>
        </w:rPr>
      </w:pPr>
      <w:r>
        <w:rPr>
          <w:i/>
          <w:color w:val="7030A0"/>
        </w:rPr>
        <w:t>Revised List of Sources</w:t>
      </w:r>
    </w:p>
    <w:tbl>
      <w:tblPr>
        <w:tblStyle w:val="TableGrid"/>
        <w:tblW w:w="5201" w:type="pct"/>
        <w:tblInd w:w="-176" w:type="dxa"/>
        <w:tblLayout w:type="fixed"/>
        <w:tblLook w:val="04A0" w:firstRow="1" w:lastRow="0" w:firstColumn="1" w:lastColumn="0" w:noHBand="0" w:noVBand="1"/>
      </w:tblPr>
      <w:tblGrid>
        <w:gridCol w:w="1418"/>
        <w:gridCol w:w="3133"/>
      </w:tblGrid>
      <w:tr w:rsidR="00FE1A25" w:rsidRPr="00C01C0A" w:rsidTr="005B6B1F">
        <w:tc>
          <w:tcPr>
            <w:tcW w:w="1558" w:type="pct"/>
            <w:shd w:val="clear" w:color="auto" w:fill="7030A0"/>
          </w:tcPr>
          <w:p w:rsidR="00FE1A25" w:rsidRPr="00FE1A25" w:rsidRDefault="00FE1A25" w:rsidP="00FE1A25">
            <w:pPr>
              <w:spacing w:after="60"/>
              <w:rPr>
                <w:b/>
                <w:bCs/>
                <w:color w:val="FFFFFF" w:themeColor="background1"/>
                <w:szCs w:val="20"/>
              </w:rPr>
            </w:pPr>
            <w:r w:rsidRPr="00FE1A25">
              <w:rPr>
                <w:b/>
                <w:color w:val="FFFFFF" w:themeColor="background1"/>
                <w:szCs w:val="20"/>
              </w:rPr>
              <w:t>Page</w:t>
            </w:r>
          </w:p>
        </w:tc>
        <w:tc>
          <w:tcPr>
            <w:tcW w:w="3442" w:type="pct"/>
            <w:shd w:val="clear" w:color="auto" w:fill="7030A0"/>
          </w:tcPr>
          <w:p w:rsidR="00FE1A25" w:rsidRPr="00FE1A25" w:rsidRDefault="00FE1A25" w:rsidP="00FE1A25">
            <w:pPr>
              <w:spacing w:after="60"/>
              <w:rPr>
                <w:b/>
                <w:bCs/>
                <w:color w:val="FFFFFF" w:themeColor="background1"/>
                <w:szCs w:val="20"/>
              </w:rPr>
            </w:pPr>
            <w:r w:rsidRPr="00FE1A25">
              <w:rPr>
                <w:b/>
                <w:color w:val="FFFFFF" w:themeColor="background1"/>
                <w:szCs w:val="20"/>
              </w:rPr>
              <w:t>Source</w:t>
            </w:r>
          </w:p>
        </w:tc>
      </w:tr>
      <w:tr w:rsidR="00FE1A25" w:rsidRPr="00C01C0A" w:rsidTr="005B6B1F">
        <w:tc>
          <w:tcPr>
            <w:tcW w:w="1558" w:type="pct"/>
          </w:tcPr>
          <w:p w:rsidR="005B6B1F" w:rsidRDefault="00FE1A25" w:rsidP="00FE1A25">
            <w:pPr>
              <w:rPr>
                <w:szCs w:val="20"/>
              </w:rPr>
            </w:pPr>
            <w:r w:rsidRPr="00FE1A25">
              <w:rPr>
                <w:szCs w:val="20"/>
              </w:rPr>
              <w:t>12,13,15,</w:t>
            </w:r>
          </w:p>
          <w:p w:rsidR="005B6B1F" w:rsidRDefault="00FE1A25" w:rsidP="00FE1A25">
            <w:pPr>
              <w:rPr>
                <w:szCs w:val="20"/>
              </w:rPr>
            </w:pPr>
            <w:r w:rsidRPr="00FE1A25">
              <w:rPr>
                <w:szCs w:val="20"/>
              </w:rPr>
              <w:t>18,19,20,</w:t>
            </w:r>
          </w:p>
          <w:p w:rsidR="005B6B1F" w:rsidRDefault="00FE1A25" w:rsidP="00FE1A25">
            <w:pPr>
              <w:rPr>
                <w:szCs w:val="20"/>
              </w:rPr>
            </w:pPr>
            <w:r w:rsidRPr="00FE1A25">
              <w:rPr>
                <w:szCs w:val="20"/>
              </w:rPr>
              <w:t>21,24,25,</w:t>
            </w:r>
          </w:p>
          <w:p w:rsidR="005B6B1F" w:rsidRDefault="00FE1A25" w:rsidP="00FE1A25">
            <w:pPr>
              <w:rPr>
                <w:szCs w:val="20"/>
              </w:rPr>
            </w:pPr>
            <w:r w:rsidRPr="00FE1A25">
              <w:rPr>
                <w:szCs w:val="20"/>
              </w:rPr>
              <w:t>27,28,32,</w:t>
            </w:r>
          </w:p>
          <w:p w:rsidR="00FE1A25" w:rsidRPr="00FE1A25" w:rsidRDefault="00FE1A25" w:rsidP="00FE1A25">
            <w:pPr>
              <w:rPr>
                <w:b/>
                <w:bCs/>
                <w:szCs w:val="20"/>
              </w:rPr>
            </w:pPr>
            <w:r w:rsidRPr="00FE1A25">
              <w:rPr>
                <w:szCs w:val="20"/>
              </w:rPr>
              <w:t>35</w:t>
            </w:r>
          </w:p>
        </w:tc>
        <w:tc>
          <w:tcPr>
            <w:tcW w:w="3442" w:type="pct"/>
          </w:tcPr>
          <w:p w:rsidR="00FE1A25" w:rsidRPr="00026235" w:rsidRDefault="008034F2" w:rsidP="00FE1A25">
            <w:hyperlink r:id="rId12" w:history="1">
              <w:r w:rsidR="00FE1A25" w:rsidRPr="00FE1A25">
                <w:rPr>
                  <w:rStyle w:val="Hyperlink"/>
                </w:rPr>
                <w:t xml:space="preserve">Environment Agency (2013) How to comply with your </w:t>
              </w:r>
              <w:proofErr w:type="spellStart"/>
              <w:r w:rsidR="00FE1A25" w:rsidRPr="00FE1A25">
                <w:rPr>
                  <w:rStyle w:val="Hyperlink"/>
                </w:rPr>
                <w:t>landspreading</w:t>
              </w:r>
              <w:proofErr w:type="spellEnd"/>
              <w:r w:rsidR="00FE1A25" w:rsidRPr="00FE1A25">
                <w:rPr>
                  <w:rStyle w:val="Hyperlink"/>
                </w:rPr>
                <w:t xml:space="preserve"> permit</w:t>
              </w:r>
            </w:hyperlink>
          </w:p>
        </w:tc>
      </w:tr>
      <w:tr w:rsidR="00FE1A25" w:rsidRPr="00C01C0A" w:rsidTr="005B6B1F">
        <w:tc>
          <w:tcPr>
            <w:tcW w:w="1558" w:type="pct"/>
          </w:tcPr>
          <w:p w:rsidR="00FE1A25" w:rsidRPr="00FE1A25" w:rsidRDefault="00FE1A25" w:rsidP="00FE1A25">
            <w:pPr>
              <w:rPr>
                <w:b/>
                <w:bCs/>
                <w:szCs w:val="20"/>
              </w:rPr>
            </w:pPr>
            <w:r w:rsidRPr="00FE1A25">
              <w:rPr>
                <w:szCs w:val="20"/>
              </w:rPr>
              <w:t>12,13,15,18,19,20,21,24,25,26,27,28,32,33,35</w:t>
            </w:r>
          </w:p>
        </w:tc>
        <w:tc>
          <w:tcPr>
            <w:tcW w:w="3442" w:type="pct"/>
          </w:tcPr>
          <w:p w:rsidR="00FE1A25" w:rsidRPr="0017194A" w:rsidRDefault="008034F2" w:rsidP="00FE1A25">
            <w:hyperlink r:id="rId13" w:history="1">
              <w:r w:rsidR="00FE1A25" w:rsidRPr="00FE1A25">
                <w:rPr>
                  <w:rStyle w:val="Hyperlink"/>
                </w:rPr>
                <w:t xml:space="preserve">Natural Resources Wales (2014) How to comply with your </w:t>
              </w:r>
              <w:proofErr w:type="spellStart"/>
              <w:r w:rsidR="00FE1A25" w:rsidRPr="00FE1A25">
                <w:rPr>
                  <w:rStyle w:val="Hyperlink"/>
                </w:rPr>
                <w:t>landspreading</w:t>
              </w:r>
              <w:proofErr w:type="spellEnd"/>
              <w:r w:rsidR="00FE1A25" w:rsidRPr="00FE1A25">
                <w:rPr>
                  <w:rStyle w:val="Hyperlink"/>
                </w:rPr>
                <w:t xml:space="preserve"> permit</w:t>
              </w:r>
            </w:hyperlink>
          </w:p>
        </w:tc>
      </w:tr>
      <w:tr w:rsidR="00FE1A25" w:rsidRPr="00C01C0A" w:rsidTr="005B6B1F">
        <w:tc>
          <w:tcPr>
            <w:tcW w:w="1558" w:type="pct"/>
          </w:tcPr>
          <w:p w:rsidR="00FE1A25" w:rsidRPr="00FE1A25" w:rsidRDefault="00FE1A25" w:rsidP="00FE1A25">
            <w:pPr>
              <w:rPr>
                <w:b/>
                <w:bCs/>
                <w:szCs w:val="20"/>
              </w:rPr>
            </w:pPr>
            <w:r w:rsidRPr="00FE1A25">
              <w:rPr>
                <w:szCs w:val="20"/>
              </w:rPr>
              <w:t>13,14</w:t>
            </w:r>
          </w:p>
        </w:tc>
        <w:tc>
          <w:tcPr>
            <w:tcW w:w="3442" w:type="pct"/>
          </w:tcPr>
          <w:p w:rsidR="00FE1A25" w:rsidRPr="00026235" w:rsidRDefault="008034F2" w:rsidP="00FE1A25">
            <w:hyperlink r:id="rId14" w:history="1">
              <w:r w:rsidR="00FE1A25" w:rsidRPr="00FE1A25">
                <w:rPr>
                  <w:rStyle w:val="Hyperlink"/>
                </w:rPr>
                <w:t>Environment Agency (2004) Guidance for the recovery and disposal of hazardous and non-hazardous waste</w:t>
              </w:r>
            </w:hyperlink>
          </w:p>
        </w:tc>
      </w:tr>
      <w:tr w:rsidR="00FE1A25" w:rsidRPr="00C01C0A" w:rsidTr="005B6B1F">
        <w:tc>
          <w:tcPr>
            <w:tcW w:w="1558" w:type="pct"/>
          </w:tcPr>
          <w:p w:rsidR="00FE1A25" w:rsidRPr="00FE1A25" w:rsidRDefault="00FE1A25" w:rsidP="00FE1A25">
            <w:pPr>
              <w:rPr>
                <w:b/>
                <w:bCs/>
                <w:szCs w:val="20"/>
              </w:rPr>
            </w:pPr>
            <w:r w:rsidRPr="00FE1A25">
              <w:rPr>
                <w:szCs w:val="20"/>
              </w:rPr>
              <w:t>14,</w:t>
            </w:r>
          </w:p>
        </w:tc>
        <w:tc>
          <w:tcPr>
            <w:tcW w:w="3442" w:type="pct"/>
          </w:tcPr>
          <w:p w:rsidR="00FE1A25" w:rsidRPr="0017194A" w:rsidRDefault="008034F2" w:rsidP="00FE1A25">
            <w:pPr>
              <w:pStyle w:val="ListParagraph"/>
              <w:ind w:left="0"/>
            </w:pPr>
            <w:hyperlink r:id="rId15" w:history="1">
              <w:r w:rsidR="00FE1A25" w:rsidRPr="00FE1A25">
                <w:rPr>
                  <w:rStyle w:val="Hyperlink"/>
                </w:rPr>
                <w:t>The Waste (England and Wales) Regulations 2011</w:t>
              </w:r>
            </w:hyperlink>
          </w:p>
        </w:tc>
      </w:tr>
      <w:tr w:rsidR="00FE1A25" w:rsidRPr="00C01C0A" w:rsidTr="005B6B1F">
        <w:tc>
          <w:tcPr>
            <w:tcW w:w="1558" w:type="pct"/>
          </w:tcPr>
          <w:p w:rsidR="00FE1A25" w:rsidRPr="00FE1A25" w:rsidRDefault="00FE1A25" w:rsidP="00FE1A25">
            <w:pPr>
              <w:rPr>
                <w:b/>
                <w:bCs/>
                <w:szCs w:val="20"/>
              </w:rPr>
            </w:pPr>
            <w:r w:rsidRPr="00FE1A25">
              <w:rPr>
                <w:szCs w:val="20"/>
              </w:rPr>
              <w:t>14,</w:t>
            </w:r>
          </w:p>
        </w:tc>
        <w:tc>
          <w:tcPr>
            <w:tcW w:w="3442" w:type="pct"/>
          </w:tcPr>
          <w:p w:rsidR="00FE1A25" w:rsidRPr="0017194A" w:rsidRDefault="008034F2" w:rsidP="00FE1A25">
            <w:hyperlink r:id="rId16" w:history="1">
              <w:r w:rsidR="00FE1A25" w:rsidRPr="00FE1A25">
                <w:rPr>
                  <w:rStyle w:val="Hyperlink"/>
                </w:rPr>
                <w:t>GOV.UK (2019) Classify different types of waste</w:t>
              </w:r>
            </w:hyperlink>
          </w:p>
        </w:tc>
      </w:tr>
      <w:tr w:rsidR="00FE1A25" w:rsidRPr="00C01C0A" w:rsidTr="005B6B1F">
        <w:tc>
          <w:tcPr>
            <w:tcW w:w="1558" w:type="pct"/>
          </w:tcPr>
          <w:p w:rsidR="00FE1A25" w:rsidRPr="00FE1A25" w:rsidRDefault="00FE1A25" w:rsidP="00FE1A25">
            <w:pPr>
              <w:rPr>
                <w:b/>
                <w:bCs/>
                <w:szCs w:val="20"/>
              </w:rPr>
            </w:pPr>
            <w:r w:rsidRPr="00FE1A25">
              <w:rPr>
                <w:szCs w:val="20"/>
              </w:rPr>
              <w:t>27</w:t>
            </w:r>
          </w:p>
        </w:tc>
        <w:tc>
          <w:tcPr>
            <w:tcW w:w="3442" w:type="pct"/>
          </w:tcPr>
          <w:p w:rsidR="00FE1A25" w:rsidRPr="00FE1A25" w:rsidRDefault="00FE1A25" w:rsidP="00FE1A25">
            <w:r w:rsidRPr="00FE1A25">
              <w:t xml:space="preserve">SR2010No4 </w:t>
            </w:r>
          </w:p>
        </w:tc>
      </w:tr>
      <w:tr w:rsidR="00FE1A25" w:rsidRPr="00C01C0A" w:rsidTr="005B6B1F">
        <w:tc>
          <w:tcPr>
            <w:tcW w:w="1558" w:type="pct"/>
          </w:tcPr>
          <w:p w:rsidR="00FE1A25" w:rsidRPr="00FE1A25" w:rsidRDefault="00FE1A25" w:rsidP="00FE1A25">
            <w:pPr>
              <w:rPr>
                <w:b/>
                <w:bCs/>
                <w:szCs w:val="20"/>
              </w:rPr>
            </w:pPr>
            <w:r w:rsidRPr="00FE1A25">
              <w:rPr>
                <w:szCs w:val="20"/>
              </w:rPr>
              <w:t>27</w:t>
            </w:r>
          </w:p>
        </w:tc>
        <w:tc>
          <w:tcPr>
            <w:tcW w:w="3442" w:type="pct"/>
          </w:tcPr>
          <w:p w:rsidR="00FE1A25" w:rsidRPr="00FE1A25" w:rsidRDefault="00FE1A25" w:rsidP="00FE1A25">
            <w:r w:rsidRPr="00FE1A25">
              <w:t>SR2010No5</w:t>
            </w:r>
          </w:p>
        </w:tc>
      </w:tr>
      <w:tr w:rsidR="00FE1A25" w:rsidRPr="00C01C0A" w:rsidTr="005B6B1F">
        <w:tc>
          <w:tcPr>
            <w:tcW w:w="1558" w:type="pct"/>
          </w:tcPr>
          <w:p w:rsidR="00FE1A25" w:rsidRPr="00FE1A25" w:rsidRDefault="00FE1A25" w:rsidP="00FE1A25">
            <w:pPr>
              <w:rPr>
                <w:b/>
                <w:bCs/>
                <w:szCs w:val="20"/>
              </w:rPr>
            </w:pPr>
            <w:r w:rsidRPr="00FE1A25">
              <w:rPr>
                <w:szCs w:val="20"/>
              </w:rPr>
              <w:t>27</w:t>
            </w:r>
          </w:p>
        </w:tc>
        <w:tc>
          <w:tcPr>
            <w:tcW w:w="3442" w:type="pct"/>
          </w:tcPr>
          <w:p w:rsidR="00FE1A25" w:rsidRPr="00FE1A25" w:rsidRDefault="00FE1A25" w:rsidP="00FE1A25">
            <w:r w:rsidRPr="00FE1A25">
              <w:t>SR2010No6</w:t>
            </w:r>
          </w:p>
        </w:tc>
      </w:tr>
      <w:tr w:rsidR="00FE1A25" w:rsidRPr="00C01C0A" w:rsidTr="005B6B1F">
        <w:tc>
          <w:tcPr>
            <w:tcW w:w="1558" w:type="pct"/>
          </w:tcPr>
          <w:p w:rsidR="00FE1A25" w:rsidRPr="00FE1A25" w:rsidRDefault="00FE1A25" w:rsidP="00FE1A25">
            <w:pPr>
              <w:rPr>
                <w:b/>
                <w:bCs/>
                <w:szCs w:val="20"/>
              </w:rPr>
            </w:pPr>
            <w:r w:rsidRPr="00FE1A25">
              <w:rPr>
                <w:szCs w:val="20"/>
              </w:rPr>
              <w:t>19,33</w:t>
            </w:r>
          </w:p>
        </w:tc>
        <w:tc>
          <w:tcPr>
            <w:tcW w:w="3442" w:type="pct"/>
          </w:tcPr>
          <w:p w:rsidR="00FE1A25" w:rsidRPr="00026235" w:rsidRDefault="008034F2" w:rsidP="00FE1A25">
            <w:hyperlink r:id="rId17" w:history="1">
              <w:r w:rsidR="00FE1A25" w:rsidRPr="00FE1A25">
                <w:rPr>
                  <w:rStyle w:val="Hyperlink"/>
                </w:rPr>
                <w:t>Environment Agency (2011) H4 Odour Management</w:t>
              </w:r>
            </w:hyperlink>
          </w:p>
        </w:tc>
      </w:tr>
      <w:tr w:rsidR="00FE1A25" w:rsidRPr="00C01C0A" w:rsidTr="005B6B1F">
        <w:tc>
          <w:tcPr>
            <w:tcW w:w="1558" w:type="pct"/>
          </w:tcPr>
          <w:p w:rsidR="00FE1A25" w:rsidRPr="00FE1A25" w:rsidRDefault="00FE1A25" w:rsidP="00FE1A25">
            <w:pPr>
              <w:rPr>
                <w:b/>
                <w:bCs/>
                <w:szCs w:val="20"/>
              </w:rPr>
            </w:pPr>
            <w:r w:rsidRPr="00FE1A25">
              <w:rPr>
                <w:szCs w:val="20"/>
              </w:rPr>
              <w:t>33</w:t>
            </w:r>
          </w:p>
        </w:tc>
        <w:tc>
          <w:tcPr>
            <w:tcW w:w="3442" w:type="pct"/>
          </w:tcPr>
          <w:p w:rsidR="00FE1A25" w:rsidRPr="00BC0B45" w:rsidRDefault="008034F2" w:rsidP="00FE1A25">
            <w:hyperlink r:id="rId18" w:history="1">
              <w:r w:rsidR="00FE1A25" w:rsidRPr="00FE1A25">
                <w:rPr>
                  <w:rStyle w:val="Hyperlink"/>
                </w:rPr>
                <w:t>Natural Resources Wales (2014) H4 Odour management</w:t>
              </w:r>
            </w:hyperlink>
            <w:r w:rsidR="00FE1A25" w:rsidRPr="00BC0B45">
              <w:rPr>
                <w:color w:val="7030A0"/>
              </w:rPr>
              <w:t xml:space="preserve"> </w:t>
            </w:r>
          </w:p>
        </w:tc>
      </w:tr>
      <w:tr w:rsidR="00FE1A25" w:rsidRPr="00C01C0A" w:rsidTr="005B6B1F">
        <w:tc>
          <w:tcPr>
            <w:tcW w:w="1558" w:type="pct"/>
          </w:tcPr>
          <w:p w:rsidR="00FE1A25" w:rsidRPr="00FE1A25" w:rsidRDefault="00FE1A25" w:rsidP="00FE1A25">
            <w:pPr>
              <w:rPr>
                <w:b/>
                <w:bCs/>
                <w:szCs w:val="20"/>
              </w:rPr>
            </w:pPr>
            <w:r w:rsidRPr="00FE1A25">
              <w:rPr>
                <w:szCs w:val="20"/>
              </w:rPr>
              <w:t>24,29</w:t>
            </w:r>
          </w:p>
        </w:tc>
        <w:tc>
          <w:tcPr>
            <w:tcW w:w="3442" w:type="pct"/>
          </w:tcPr>
          <w:p w:rsidR="00FE1A25" w:rsidRPr="00026235" w:rsidRDefault="008034F2" w:rsidP="00FE1A25">
            <w:hyperlink r:id="rId19" w:history="1">
              <w:r w:rsidR="00FE1A25" w:rsidRPr="00FE1A25">
                <w:rPr>
                  <w:rStyle w:val="Hyperlink"/>
                </w:rPr>
                <w:t>Environment Agency (2011) Guidance notes – application for deployment</w:t>
              </w:r>
            </w:hyperlink>
            <w:r w:rsidR="00FE1A25" w:rsidRPr="00BC0B45">
              <w:rPr>
                <w:color w:val="7030A0"/>
              </w:rPr>
              <w:t xml:space="preserve"> </w:t>
            </w:r>
          </w:p>
        </w:tc>
      </w:tr>
      <w:tr w:rsidR="00FE1A25" w:rsidRPr="00C01C0A" w:rsidTr="005B6B1F">
        <w:tc>
          <w:tcPr>
            <w:tcW w:w="1558" w:type="pct"/>
          </w:tcPr>
          <w:p w:rsidR="00FE1A25" w:rsidRPr="00FE1A25" w:rsidRDefault="00FE1A25" w:rsidP="00FE1A25">
            <w:pPr>
              <w:rPr>
                <w:b/>
                <w:bCs/>
                <w:szCs w:val="20"/>
              </w:rPr>
            </w:pPr>
            <w:r w:rsidRPr="00FE1A25">
              <w:rPr>
                <w:szCs w:val="20"/>
              </w:rPr>
              <w:t>24,29</w:t>
            </w:r>
          </w:p>
        </w:tc>
        <w:tc>
          <w:tcPr>
            <w:tcW w:w="3442" w:type="pct"/>
          </w:tcPr>
          <w:p w:rsidR="00FE1A25" w:rsidRPr="00026235" w:rsidRDefault="008034F2" w:rsidP="00FE1A25">
            <w:hyperlink r:id="rId20" w:history="1">
              <w:r w:rsidR="00FE1A25" w:rsidRPr="00FE1A25">
                <w:rPr>
                  <w:rStyle w:val="Hyperlink"/>
                </w:rPr>
                <w:t>Natural Resources Wales (2016) Guidance notes – application for deployment</w:t>
              </w:r>
            </w:hyperlink>
            <w:r w:rsidR="00FE1A25">
              <w:t xml:space="preserve"> </w:t>
            </w:r>
          </w:p>
        </w:tc>
      </w:tr>
      <w:tr w:rsidR="00FE1A25" w:rsidRPr="00C01C0A" w:rsidTr="005B6B1F">
        <w:tc>
          <w:tcPr>
            <w:tcW w:w="1558" w:type="pct"/>
          </w:tcPr>
          <w:p w:rsidR="00FE1A25" w:rsidRPr="00FE1A25" w:rsidRDefault="00FE1A25" w:rsidP="00FE1A25">
            <w:pPr>
              <w:rPr>
                <w:b/>
                <w:bCs/>
                <w:szCs w:val="20"/>
              </w:rPr>
            </w:pPr>
            <w:r w:rsidRPr="00FE1A25">
              <w:rPr>
                <w:szCs w:val="20"/>
              </w:rPr>
              <w:t>26</w:t>
            </w:r>
          </w:p>
        </w:tc>
        <w:tc>
          <w:tcPr>
            <w:tcW w:w="3442" w:type="pct"/>
          </w:tcPr>
          <w:p w:rsidR="00FE1A25" w:rsidRPr="00BC0B45" w:rsidRDefault="008034F2" w:rsidP="00FE1A25">
            <w:hyperlink r:id="rId21" w:history="1">
              <w:r w:rsidR="00FE1A25" w:rsidRPr="00FE1A25">
                <w:rPr>
                  <w:rStyle w:val="Hyperlink"/>
                </w:rPr>
                <w:t>Environment Agency (2019) Develop a management system: environmental permits</w:t>
              </w:r>
            </w:hyperlink>
          </w:p>
        </w:tc>
      </w:tr>
      <w:tr w:rsidR="00FE1A25" w:rsidRPr="00C01C0A" w:rsidTr="005B6B1F">
        <w:tc>
          <w:tcPr>
            <w:tcW w:w="1558" w:type="pct"/>
          </w:tcPr>
          <w:p w:rsidR="00FE1A25" w:rsidRPr="00FE1A25" w:rsidRDefault="00FE1A25" w:rsidP="00FE1A25">
            <w:pPr>
              <w:rPr>
                <w:b/>
                <w:bCs/>
                <w:szCs w:val="20"/>
              </w:rPr>
            </w:pPr>
            <w:r w:rsidRPr="00FE1A25">
              <w:rPr>
                <w:szCs w:val="20"/>
              </w:rPr>
              <w:t>34</w:t>
            </w:r>
          </w:p>
        </w:tc>
        <w:tc>
          <w:tcPr>
            <w:tcW w:w="3442" w:type="pct"/>
          </w:tcPr>
          <w:p w:rsidR="00FE1A25" w:rsidRPr="00026235" w:rsidRDefault="008034F2" w:rsidP="00FE1A25">
            <w:hyperlink r:id="rId22" w:history="1">
              <w:r w:rsidR="00FE1A25" w:rsidRPr="00FE1A25">
                <w:rPr>
                  <w:rStyle w:val="Hyperlink"/>
                </w:rPr>
                <w:t>Environment Agency (2016) Pollution prevention for businesses</w:t>
              </w:r>
            </w:hyperlink>
          </w:p>
        </w:tc>
      </w:tr>
      <w:tr w:rsidR="00FE1A25" w:rsidRPr="00C01C0A" w:rsidTr="005B6B1F">
        <w:tc>
          <w:tcPr>
            <w:tcW w:w="1558" w:type="pct"/>
          </w:tcPr>
          <w:p w:rsidR="00FE1A25" w:rsidRPr="00FE1A25" w:rsidRDefault="00FE1A25" w:rsidP="00FE1A25">
            <w:pPr>
              <w:rPr>
                <w:b/>
                <w:bCs/>
                <w:szCs w:val="20"/>
              </w:rPr>
            </w:pPr>
            <w:r w:rsidRPr="00FE1A25">
              <w:rPr>
                <w:szCs w:val="20"/>
              </w:rPr>
              <w:t>34</w:t>
            </w:r>
          </w:p>
        </w:tc>
        <w:tc>
          <w:tcPr>
            <w:tcW w:w="3442" w:type="pct"/>
          </w:tcPr>
          <w:p w:rsidR="00FE1A25" w:rsidRPr="002C3F7F" w:rsidRDefault="008034F2" w:rsidP="00FF2AC2">
            <w:hyperlink r:id="rId23" w:history="1">
              <w:r w:rsidR="00FE1A25" w:rsidRPr="00FF2AC2">
                <w:rPr>
                  <w:rStyle w:val="Hyperlink"/>
                </w:rPr>
                <w:t xml:space="preserve">Environment Agency (2011) Dealing with </w:t>
              </w:r>
              <w:r w:rsidR="00FF2AC2" w:rsidRPr="00FF2AC2">
                <w:rPr>
                  <w:rStyle w:val="Hyperlink"/>
                </w:rPr>
                <w:t>spills: PPG 22</w:t>
              </w:r>
            </w:hyperlink>
          </w:p>
        </w:tc>
      </w:tr>
    </w:tbl>
    <w:p w:rsidR="00A674E5" w:rsidRDefault="00C02BF3" w:rsidP="00C02BF3">
      <w:pPr>
        <w:spacing w:before="240"/>
        <w:rPr>
          <w:i/>
        </w:rPr>
      </w:pPr>
      <w:r w:rsidRPr="00C02BF3">
        <w:rPr>
          <w:b/>
          <w:i/>
        </w:rPr>
        <w:t>Please note:</w:t>
      </w:r>
      <w:r w:rsidRPr="00C02BF3">
        <w:rPr>
          <w:i/>
        </w:rPr>
        <w:t xml:space="preserve"> this information was correct at the time of publishing. If you find these links are broken, type the document title into a search engine</w:t>
      </w:r>
      <w:r>
        <w:rPr>
          <w:i/>
        </w:rPr>
        <w:t>.</w:t>
      </w:r>
    </w:p>
    <w:p w:rsidR="00A6136C" w:rsidRDefault="00A6136C" w:rsidP="00A6136C">
      <w:pPr>
        <w:spacing w:before="240" w:after="0"/>
        <w:rPr>
          <w:i/>
        </w:rPr>
      </w:pPr>
    </w:p>
    <w:p w:rsidR="00FF2AC2" w:rsidRDefault="00FF2AC2" w:rsidP="00A6136C">
      <w:pPr>
        <w:spacing w:before="240" w:after="0"/>
        <w:rPr>
          <w:i/>
        </w:rPr>
      </w:pPr>
    </w:p>
    <w:tbl>
      <w:tblPr>
        <w:tblStyle w:val="TableGrid"/>
        <w:tblW w:w="0" w:type="auto"/>
        <w:tblLook w:val="04A0" w:firstRow="1" w:lastRow="0" w:firstColumn="1" w:lastColumn="0" w:noHBand="0" w:noVBand="1"/>
      </w:tblPr>
      <w:tblGrid>
        <w:gridCol w:w="4375"/>
      </w:tblGrid>
      <w:tr w:rsidR="00A6136C" w:rsidTr="00A6136C">
        <w:tc>
          <w:tcPr>
            <w:tcW w:w="4375" w:type="dxa"/>
            <w:tcBorders>
              <w:top w:val="single" w:sz="4" w:space="0" w:color="7030A0"/>
              <w:left w:val="single" w:sz="4" w:space="0" w:color="7030A0"/>
              <w:bottom w:val="single" w:sz="4" w:space="0" w:color="7030A0"/>
              <w:right w:val="single" w:sz="4" w:space="0" w:color="7030A0"/>
            </w:tcBorders>
            <w:shd w:val="clear" w:color="auto" w:fill="E5DFEC" w:themeFill="accent4" w:themeFillTint="33"/>
          </w:tcPr>
          <w:p w:rsidR="00A6136C" w:rsidRDefault="00A6136C" w:rsidP="00A6136C">
            <w:pPr>
              <w:rPr>
                <w:b/>
              </w:rPr>
            </w:pPr>
          </w:p>
          <w:p w:rsidR="00A6136C" w:rsidRDefault="00A6136C" w:rsidP="00A6136C">
            <w:pPr>
              <w:rPr>
                <w:b/>
              </w:rPr>
            </w:pPr>
            <w:r>
              <w:rPr>
                <w:b/>
              </w:rPr>
              <w:t>About this sheet</w:t>
            </w:r>
          </w:p>
          <w:p w:rsidR="00A6136C" w:rsidRDefault="00A6136C" w:rsidP="00A6136C">
            <w:pPr>
              <w:spacing w:before="240"/>
              <w:rPr>
                <w:i/>
              </w:rPr>
            </w:pPr>
            <w:r w:rsidRPr="00AA6976">
              <w:rPr>
                <w:i/>
              </w:rPr>
              <w:t xml:space="preserve">The Continuing Competence Free Update Sheet is designed to be used by purchasers of the Continuing Competence Revision Guides for the 2016-2018 period. </w:t>
            </w:r>
          </w:p>
          <w:p w:rsidR="00A6136C" w:rsidRPr="00AA6976" w:rsidRDefault="00A6136C" w:rsidP="00A6136C">
            <w:pPr>
              <w:rPr>
                <w:i/>
              </w:rPr>
            </w:pPr>
          </w:p>
          <w:p w:rsidR="00A6136C" w:rsidRPr="00AA6976" w:rsidRDefault="00A6136C" w:rsidP="00A6136C">
            <w:pPr>
              <w:rPr>
                <w:i/>
              </w:rPr>
            </w:pPr>
            <w:r w:rsidRPr="00AA6976">
              <w:rPr>
                <w:i/>
              </w:rPr>
              <w:t>It will highlight any changes in technical guidance and sources used as a basis for the Continuing Competence question bank to support the revision of users.</w:t>
            </w:r>
          </w:p>
          <w:p w:rsidR="00A6136C" w:rsidRDefault="00A6136C" w:rsidP="00A6136C">
            <w:pPr>
              <w:rPr>
                <w:i/>
              </w:rPr>
            </w:pPr>
          </w:p>
        </w:tc>
      </w:tr>
    </w:tbl>
    <w:p w:rsidR="00A6136C" w:rsidRDefault="00A6136C" w:rsidP="003F6D66">
      <w:pPr>
        <w:spacing w:after="0"/>
        <w:rPr>
          <w:b/>
        </w:rPr>
      </w:pPr>
    </w:p>
    <w:p w:rsidR="00A6136C" w:rsidRDefault="00A6136C" w:rsidP="00A6136C">
      <w:pPr>
        <w:rPr>
          <w:b/>
        </w:rPr>
      </w:pPr>
      <w:r>
        <w:rPr>
          <w:b/>
        </w:rPr>
        <w:t>Frequently Asked Questions (FAQs)</w:t>
      </w:r>
    </w:p>
    <w:p w:rsidR="00A6136C" w:rsidRPr="00F02619" w:rsidRDefault="00A6136C" w:rsidP="00A6136C">
      <w:pPr>
        <w:rPr>
          <w:i/>
          <w:color w:val="7030A0"/>
        </w:rPr>
      </w:pPr>
      <w:r w:rsidRPr="00F02619">
        <w:rPr>
          <w:i/>
          <w:color w:val="7030A0"/>
        </w:rPr>
        <w:t>How much does the test cost?</w:t>
      </w:r>
    </w:p>
    <w:p w:rsidR="00A6136C" w:rsidRDefault="00A6136C" w:rsidP="00A6136C">
      <w:r>
        <w:t xml:space="preserve">Each test costs </w:t>
      </w:r>
      <w:r w:rsidRPr="00964157">
        <w:rPr>
          <w:b/>
          <w:u w:val="single"/>
        </w:rPr>
        <w:t>£139</w:t>
      </w:r>
      <w:r>
        <w:t xml:space="preserve"> irrespective of the number of Activity Specific Tests chosen (a maximum of three activity specific tests can be taken at one time).</w:t>
      </w:r>
    </w:p>
    <w:p w:rsidR="00A6136C" w:rsidRPr="00F02619" w:rsidRDefault="00A6136C" w:rsidP="00A6136C">
      <w:pPr>
        <w:rPr>
          <w:i/>
          <w:color w:val="7030A0"/>
        </w:rPr>
      </w:pPr>
      <w:r w:rsidRPr="00F02619">
        <w:rPr>
          <w:i/>
          <w:color w:val="7030A0"/>
        </w:rPr>
        <w:t>What form of personal identification can I use at the test centre?</w:t>
      </w:r>
    </w:p>
    <w:p w:rsidR="00A6136C" w:rsidRDefault="00A6136C" w:rsidP="00A6136C">
      <w:pPr>
        <w:pStyle w:val="ListParagraph"/>
        <w:numPr>
          <w:ilvl w:val="0"/>
          <w:numId w:val="1"/>
        </w:numPr>
      </w:pPr>
      <w:r>
        <w:t>A valid signed passport of any country with your photograph and signature.</w:t>
      </w:r>
    </w:p>
    <w:p w:rsidR="00A6136C" w:rsidRDefault="00A6136C" w:rsidP="00A6136C">
      <w:pPr>
        <w:pStyle w:val="ListParagraph"/>
        <w:numPr>
          <w:ilvl w:val="0"/>
          <w:numId w:val="1"/>
        </w:numPr>
      </w:pPr>
      <w:r>
        <w:t>A valid signed UK photo card driving licence (full or provisional).</w:t>
      </w:r>
    </w:p>
    <w:p w:rsidR="00A6136C" w:rsidRPr="008A2290" w:rsidRDefault="00A6136C" w:rsidP="00A6136C">
      <w:pPr>
        <w:pStyle w:val="ListParagraph"/>
        <w:numPr>
          <w:ilvl w:val="0"/>
          <w:numId w:val="1"/>
        </w:numPr>
      </w:pPr>
      <w:r>
        <w:t>If you have none of these, you may present a Citizen’s ID Card.</w:t>
      </w:r>
      <w:r w:rsidR="00A352DD" w:rsidRPr="00A352DD">
        <w:rPr>
          <w:noProof/>
          <w:lang w:eastAsia="en-GB"/>
        </w:rPr>
        <w:t xml:space="preserve"> </w:t>
      </w:r>
    </w:p>
    <w:p w:rsidR="00A6136C" w:rsidRDefault="00A6136C" w:rsidP="00A6136C">
      <w:pPr>
        <w:rPr>
          <w:i/>
          <w:color w:val="7030A0"/>
        </w:rPr>
      </w:pPr>
      <w:r>
        <w:rPr>
          <w:i/>
          <w:color w:val="7030A0"/>
        </w:rPr>
        <w:t>How can I find out if I have passed the test?</w:t>
      </w:r>
    </w:p>
    <w:p w:rsidR="003F6D66" w:rsidRDefault="00A6136C" w:rsidP="00286918">
      <w:r>
        <w:t xml:space="preserve">At the end of the test you will receive your score report which provides the scores for each component of the Generic Knowledge Test and the score for each Activity Specific Test you have taken. </w:t>
      </w:r>
    </w:p>
    <w:p w:rsidR="00A6136C" w:rsidRPr="00AB5205" w:rsidRDefault="003F6D66" w:rsidP="00286918">
      <w:r>
        <w:t>T</w:t>
      </w:r>
      <w:r w:rsidR="00A6136C">
        <w:t xml:space="preserve">here is an example on the back of your score report showing how to work out if you’ve passed. Alternatively, you can go to </w:t>
      </w:r>
      <w:hyperlink r:id="rId24" w:history="1">
        <w:r w:rsidR="00A6136C" w:rsidRPr="00902207">
          <w:rPr>
            <w:rStyle w:val="Hyperlink"/>
          </w:rPr>
          <w:t>https://wamitab.org.uk/competence/continuing-competence/test-score-calculator/</w:t>
        </w:r>
      </w:hyperlink>
      <w:r w:rsidR="00A6136C">
        <w:t xml:space="preserve"> and type in your scores.</w:t>
      </w:r>
    </w:p>
    <w:sectPr w:rsidR="00A6136C" w:rsidRPr="00AB5205" w:rsidSect="00A674E5">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170" w:rsidRDefault="001A7170" w:rsidP="00033393">
      <w:pPr>
        <w:spacing w:after="0" w:line="240" w:lineRule="auto"/>
      </w:pPr>
      <w:r>
        <w:separator/>
      </w:r>
    </w:p>
  </w:endnote>
  <w:endnote w:type="continuationSeparator" w:id="0">
    <w:p w:rsidR="001A7170" w:rsidRDefault="001A7170" w:rsidP="00033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770377"/>
      <w:docPartObj>
        <w:docPartGallery w:val="Page Numbers (Bottom of Page)"/>
        <w:docPartUnique/>
      </w:docPartObj>
    </w:sdtPr>
    <w:sdtEndPr/>
    <w:sdtContent>
      <w:sdt>
        <w:sdtPr>
          <w:id w:val="-1011378125"/>
          <w:docPartObj>
            <w:docPartGallery w:val="Page Numbers (Top of Page)"/>
            <w:docPartUnique/>
          </w:docPartObj>
        </w:sdtPr>
        <w:sdtEndPr/>
        <w:sdtContent>
          <w:p w:rsidR="001A7170" w:rsidRDefault="001A7170" w:rsidP="00FB3587">
            <w:pPr>
              <w:spacing w:after="0"/>
            </w:pPr>
            <w:r>
              <w:rPr>
                <w:noProof/>
                <w:lang w:eastAsia="en-GB"/>
              </w:rPr>
              <mc:AlternateContent>
                <mc:Choice Requires="wps">
                  <w:drawing>
                    <wp:anchor distT="0" distB="0" distL="114300" distR="114300" simplePos="0" relativeHeight="251661312" behindDoc="0" locked="0" layoutInCell="1" allowOverlap="1" wp14:anchorId="6AAA9F4D" wp14:editId="2EAE3400">
                      <wp:simplePos x="0" y="0"/>
                      <wp:positionH relativeFrom="column">
                        <wp:posOffset>-912495</wp:posOffset>
                      </wp:positionH>
                      <wp:positionV relativeFrom="paragraph">
                        <wp:posOffset>-271051</wp:posOffset>
                      </wp:positionV>
                      <wp:extent cx="7560310" cy="135890"/>
                      <wp:effectExtent l="0" t="0" r="21590" b="16510"/>
                      <wp:wrapNone/>
                      <wp:docPr id="2" name="Rectangle 2"/>
                      <wp:cNvGraphicFramePr/>
                      <a:graphic xmlns:a="http://schemas.openxmlformats.org/drawingml/2006/main">
                        <a:graphicData uri="http://schemas.microsoft.com/office/word/2010/wordprocessingShape">
                          <wps:wsp>
                            <wps:cNvSpPr/>
                            <wps:spPr>
                              <a:xfrm>
                                <a:off x="0" y="0"/>
                                <a:ext cx="7560310" cy="135890"/>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71.85pt;margin-top:-21.35pt;width:595.3pt;height:10.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" fillcolor="#7030a0" strokecolor="#7030a0" strokeweight="2pt"/>
                  </w:pict>
                </mc:Fallback>
              </mc:AlternateContent>
            </w:r>
            <w:r w:rsidRPr="00FB3587">
              <w:t xml:space="preserve"> </w:t>
            </w:r>
            <w:sdt>
              <w:sdtPr>
                <w:id w:val="106205202"/>
                <w:docPartObj>
                  <w:docPartGallery w:val="Page Numbers (Bottom of Page)"/>
                  <w:docPartUnique/>
                </w:docPartObj>
              </w:sdtPr>
              <w:sdtEndPr/>
              <w:sdtContent>
                <w:sdt>
                  <w:sdtPr>
                    <w:id w:val="565050523"/>
                    <w:docPartObj>
                      <w:docPartGallery w:val="Page Numbers (Top of Page)"/>
                      <w:docPartUnique/>
                    </w:docPartObj>
                  </w:sdtPr>
                  <w:sdtEndPr/>
                  <w:sdtContent>
                    <w:sdt>
                      <w:sdtPr>
                        <w:id w:val="18124399"/>
                        <w:docPartObj>
                          <w:docPartGallery w:val="Page Numbers (Top of Page)"/>
                          <w:docPartUnique/>
                        </w:docPartObj>
                      </w:sdtPr>
                      <w:sdtEndPr/>
                      <w:sdtContent>
                        <w:r>
                          <w:rPr>
                            <w:rFonts w:ascii="Calibri" w:hAnsi="Calibri"/>
                            <w:color w:val="000000"/>
                          </w:rPr>
                          <w:t>Copyright ©2019</w:t>
                        </w:r>
                        <w:r w:rsidRPr="00EE1BFB">
                          <w:rPr>
                            <w:rFonts w:ascii="Calibri" w:hAnsi="Calibri"/>
                            <w:color w:val="000000"/>
                          </w:rPr>
                          <w:t xml:space="preserve"> </w:t>
                        </w:r>
                        <w:r>
                          <w:rPr>
                            <w:rFonts w:ascii="Calibri" w:hAnsi="Calibri"/>
                            <w:color w:val="000000"/>
                          </w:rPr>
                          <w:t xml:space="preserve">WAMITAB                                                                                                   </w:t>
                        </w:r>
                        <w:r w:rsidRPr="00962130">
                          <w:t xml:space="preserve">Page </w:t>
                        </w:r>
                        <w:r w:rsidRPr="00962130">
                          <w:rPr>
                            <w:b/>
                          </w:rPr>
                          <w:fldChar w:fldCharType="begin"/>
                        </w:r>
                        <w:r w:rsidRPr="00962130">
                          <w:rPr>
                            <w:b/>
                          </w:rPr>
                          <w:instrText xml:space="preserve"> PAGE </w:instrText>
                        </w:r>
                        <w:r w:rsidRPr="00962130">
                          <w:rPr>
                            <w:b/>
                          </w:rPr>
                          <w:fldChar w:fldCharType="separate"/>
                        </w:r>
                        <w:r w:rsidR="005D084C">
                          <w:rPr>
                            <w:b/>
                            <w:noProof/>
                          </w:rPr>
                          <w:t>3</w:t>
                        </w:r>
                        <w:r w:rsidRPr="00962130">
                          <w:rPr>
                            <w:b/>
                          </w:rPr>
                          <w:fldChar w:fldCharType="end"/>
                        </w:r>
                        <w:r w:rsidRPr="00962130">
                          <w:t xml:space="preserve"> of </w:t>
                        </w:r>
                        <w:r w:rsidRPr="00962130">
                          <w:rPr>
                            <w:b/>
                          </w:rPr>
                          <w:fldChar w:fldCharType="begin"/>
                        </w:r>
                        <w:r w:rsidRPr="00962130">
                          <w:rPr>
                            <w:b/>
                          </w:rPr>
                          <w:instrText xml:space="preserve"> NUMPAGES  </w:instrText>
                        </w:r>
                        <w:r w:rsidRPr="00962130">
                          <w:rPr>
                            <w:b/>
                          </w:rPr>
                          <w:fldChar w:fldCharType="separate"/>
                        </w:r>
                        <w:r w:rsidR="005D084C">
                          <w:rPr>
                            <w:b/>
                            <w:noProof/>
                          </w:rPr>
                          <w:t>3</w:t>
                        </w:r>
                        <w:r w:rsidRPr="00962130">
                          <w:rPr>
                            <w:b/>
                          </w:rPr>
                          <w:fldChar w:fldCharType="end"/>
                        </w:r>
                      </w:sdtContent>
                    </w:sdt>
                  </w:sdtContent>
                </w:sdt>
              </w:sdtContent>
            </w:sdt>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170" w:rsidRDefault="001A7170" w:rsidP="00033393">
      <w:pPr>
        <w:spacing w:after="0" w:line="240" w:lineRule="auto"/>
      </w:pPr>
      <w:r>
        <w:separator/>
      </w:r>
    </w:p>
  </w:footnote>
  <w:footnote w:type="continuationSeparator" w:id="0">
    <w:p w:rsidR="001A7170" w:rsidRDefault="001A7170" w:rsidP="000333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170" w:rsidRPr="00033393" w:rsidRDefault="001A7170">
    <w:pPr>
      <w:pStyle w:val="Header"/>
      <w:rPr>
        <w:b/>
      </w:rPr>
    </w:pPr>
    <w:r w:rsidRPr="00033393">
      <w:rPr>
        <w:b/>
        <w:noProof/>
        <w:lang w:eastAsia="en-GB"/>
      </w:rPr>
      <mc:AlternateContent>
        <mc:Choice Requires="wps">
          <w:drawing>
            <wp:anchor distT="0" distB="0" distL="114300" distR="114300" simplePos="0" relativeHeight="251659264" behindDoc="0" locked="0" layoutInCell="1" allowOverlap="1" wp14:anchorId="54F51965" wp14:editId="59DC11FB">
              <wp:simplePos x="0" y="0"/>
              <wp:positionH relativeFrom="column">
                <wp:posOffset>-914400</wp:posOffset>
              </wp:positionH>
              <wp:positionV relativeFrom="paragraph">
                <wp:posOffset>314695</wp:posOffset>
              </wp:positionV>
              <wp:extent cx="7560860" cy="136477"/>
              <wp:effectExtent l="0" t="0" r="21590" b="16510"/>
              <wp:wrapNone/>
              <wp:docPr id="1" name="Rectangle 1"/>
              <wp:cNvGraphicFramePr/>
              <a:graphic xmlns:a="http://schemas.openxmlformats.org/drawingml/2006/main">
                <a:graphicData uri="http://schemas.microsoft.com/office/word/2010/wordprocessingShape">
                  <wps:wsp>
                    <wps:cNvSpPr/>
                    <wps:spPr>
                      <a:xfrm>
                        <a:off x="0" y="0"/>
                        <a:ext cx="7560860" cy="136477"/>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in;margin-top:24.8pt;width:595.35pt;height:1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" fillcolor="#7030a0" strokecolor="#7030a0" strokeweight="2pt"/>
          </w:pict>
        </mc:Fallback>
      </mc:AlternateContent>
    </w:r>
    <w:r w:rsidRPr="00033393">
      <w:rPr>
        <w:b/>
      </w:rPr>
      <w:t>Continuing Competence</w:t>
    </w:r>
    <w:r w:rsidRPr="00033393">
      <w:rPr>
        <w:b/>
      </w:rPr>
      <w:ptab w:relativeTo="margin" w:alignment="center" w:leader="none"/>
    </w:r>
    <w:r w:rsidRPr="00033393">
      <w:rPr>
        <w:b/>
      </w:rPr>
      <w:t>Free Update Sheet</w:t>
    </w:r>
    <w:r w:rsidRPr="00033393">
      <w:rPr>
        <w:b/>
      </w:rPr>
      <w:ptab w:relativeTo="margin" w:alignment="right" w:leader="none"/>
    </w:r>
    <w:r w:rsidRPr="00033393">
      <w:rPr>
        <w:b/>
      </w:rPr>
      <w:t>Period 2019-2021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596"/>
    <w:multiLevelType w:val="hybridMultilevel"/>
    <w:tmpl w:val="8738F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2B2A70"/>
    <w:multiLevelType w:val="hybridMultilevel"/>
    <w:tmpl w:val="6CFEA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0B18E1"/>
    <w:multiLevelType w:val="hybridMultilevel"/>
    <w:tmpl w:val="62783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3154F83"/>
    <w:multiLevelType w:val="hybridMultilevel"/>
    <w:tmpl w:val="4330D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7B707DC"/>
    <w:multiLevelType w:val="hybridMultilevel"/>
    <w:tmpl w:val="7744D4FA"/>
    <w:lvl w:ilvl="0" w:tplc="B308D31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AA676F2"/>
    <w:multiLevelType w:val="hybridMultilevel"/>
    <w:tmpl w:val="E5B6F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FAC350C"/>
    <w:multiLevelType w:val="hybridMultilevel"/>
    <w:tmpl w:val="79648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1933932"/>
    <w:multiLevelType w:val="hybridMultilevel"/>
    <w:tmpl w:val="E2B84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41E5B49"/>
    <w:multiLevelType w:val="hybridMultilevel"/>
    <w:tmpl w:val="95403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CA90B17"/>
    <w:multiLevelType w:val="hybridMultilevel"/>
    <w:tmpl w:val="24BE0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F853563"/>
    <w:multiLevelType w:val="hybridMultilevel"/>
    <w:tmpl w:val="C17AE8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F8B17B5"/>
    <w:multiLevelType w:val="hybridMultilevel"/>
    <w:tmpl w:val="72B06D24"/>
    <w:lvl w:ilvl="0" w:tplc="B308D31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9CC0493"/>
    <w:multiLevelType w:val="hybridMultilevel"/>
    <w:tmpl w:val="5C08F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C2F11BB"/>
    <w:multiLevelType w:val="hybridMultilevel"/>
    <w:tmpl w:val="CD9EB9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D900997"/>
    <w:multiLevelType w:val="hybridMultilevel"/>
    <w:tmpl w:val="205A7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1005908"/>
    <w:multiLevelType w:val="hybridMultilevel"/>
    <w:tmpl w:val="B9C8B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53E2758"/>
    <w:multiLevelType w:val="hybridMultilevel"/>
    <w:tmpl w:val="360A7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663776D"/>
    <w:multiLevelType w:val="hybridMultilevel"/>
    <w:tmpl w:val="D3249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A596AD8"/>
    <w:multiLevelType w:val="hybridMultilevel"/>
    <w:tmpl w:val="6AB61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0734CE4"/>
    <w:multiLevelType w:val="hybridMultilevel"/>
    <w:tmpl w:val="04CAF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34E388E"/>
    <w:multiLevelType w:val="hybridMultilevel"/>
    <w:tmpl w:val="B68A5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47E68E5"/>
    <w:multiLevelType w:val="hybridMultilevel"/>
    <w:tmpl w:val="8C7E6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D7537EE"/>
    <w:multiLevelType w:val="hybridMultilevel"/>
    <w:tmpl w:val="CBD40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9"/>
  </w:num>
  <w:num w:numId="3">
    <w:abstractNumId w:val="20"/>
  </w:num>
  <w:num w:numId="4">
    <w:abstractNumId w:val="15"/>
  </w:num>
  <w:num w:numId="5">
    <w:abstractNumId w:val="1"/>
  </w:num>
  <w:num w:numId="6">
    <w:abstractNumId w:val="13"/>
  </w:num>
  <w:num w:numId="7">
    <w:abstractNumId w:val="19"/>
  </w:num>
  <w:num w:numId="8">
    <w:abstractNumId w:val="8"/>
  </w:num>
  <w:num w:numId="9">
    <w:abstractNumId w:val="0"/>
  </w:num>
  <w:num w:numId="10">
    <w:abstractNumId w:val="3"/>
  </w:num>
  <w:num w:numId="11">
    <w:abstractNumId w:val="5"/>
  </w:num>
  <w:num w:numId="12">
    <w:abstractNumId w:val="4"/>
  </w:num>
  <w:num w:numId="13">
    <w:abstractNumId w:val="18"/>
  </w:num>
  <w:num w:numId="14">
    <w:abstractNumId w:val="17"/>
  </w:num>
  <w:num w:numId="15">
    <w:abstractNumId w:val="22"/>
  </w:num>
  <w:num w:numId="16">
    <w:abstractNumId w:val="11"/>
  </w:num>
  <w:num w:numId="17">
    <w:abstractNumId w:val="6"/>
  </w:num>
  <w:num w:numId="18">
    <w:abstractNumId w:val="21"/>
  </w:num>
  <w:num w:numId="19">
    <w:abstractNumId w:val="10"/>
  </w:num>
  <w:num w:numId="20">
    <w:abstractNumId w:val="2"/>
  </w:num>
  <w:num w:numId="21">
    <w:abstractNumId w:val="12"/>
  </w:num>
  <w:num w:numId="22">
    <w:abstractNumId w:val="1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CA7"/>
    <w:rsid w:val="00017CC4"/>
    <w:rsid w:val="000218C2"/>
    <w:rsid w:val="0002797C"/>
    <w:rsid w:val="00033393"/>
    <w:rsid w:val="000725CE"/>
    <w:rsid w:val="000C3A3D"/>
    <w:rsid w:val="00174085"/>
    <w:rsid w:val="0019219A"/>
    <w:rsid w:val="001A7170"/>
    <w:rsid w:val="001C7CFB"/>
    <w:rsid w:val="00212E7A"/>
    <w:rsid w:val="002242C7"/>
    <w:rsid w:val="00286918"/>
    <w:rsid w:val="002E5E7F"/>
    <w:rsid w:val="00327D79"/>
    <w:rsid w:val="003321AB"/>
    <w:rsid w:val="003776D1"/>
    <w:rsid w:val="003F6D66"/>
    <w:rsid w:val="00440CA7"/>
    <w:rsid w:val="004B1C42"/>
    <w:rsid w:val="005055AB"/>
    <w:rsid w:val="005607D4"/>
    <w:rsid w:val="005B3C85"/>
    <w:rsid w:val="005B6B1F"/>
    <w:rsid w:val="005D084C"/>
    <w:rsid w:val="00616296"/>
    <w:rsid w:val="0069215B"/>
    <w:rsid w:val="007A593D"/>
    <w:rsid w:val="007F566C"/>
    <w:rsid w:val="00833557"/>
    <w:rsid w:val="008A2290"/>
    <w:rsid w:val="008B1233"/>
    <w:rsid w:val="00900196"/>
    <w:rsid w:val="00917404"/>
    <w:rsid w:val="009253D5"/>
    <w:rsid w:val="00964157"/>
    <w:rsid w:val="00972763"/>
    <w:rsid w:val="009B5506"/>
    <w:rsid w:val="00A352DD"/>
    <w:rsid w:val="00A6136C"/>
    <w:rsid w:val="00A674E5"/>
    <w:rsid w:val="00A97B72"/>
    <w:rsid w:val="00AA6976"/>
    <w:rsid w:val="00AB5205"/>
    <w:rsid w:val="00AD1445"/>
    <w:rsid w:val="00AE4804"/>
    <w:rsid w:val="00B15D2A"/>
    <w:rsid w:val="00B23ECC"/>
    <w:rsid w:val="00B619E9"/>
    <w:rsid w:val="00B9530B"/>
    <w:rsid w:val="00BD2179"/>
    <w:rsid w:val="00BE5446"/>
    <w:rsid w:val="00C02BF3"/>
    <w:rsid w:val="00C20806"/>
    <w:rsid w:val="00D04B6D"/>
    <w:rsid w:val="00D2106D"/>
    <w:rsid w:val="00D90EA2"/>
    <w:rsid w:val="00DB0056"/>
    <w:rsid w:val="00DB6153"/>
    <w:rsid w:val="00DD2B00"/>
    <w:rsid w:val="00E57C78"/>
    <w:rsid w:val="00E7595A"/>
    <w:rsid w:val="00E961A5"/>
    <w:rsid w:val="00F02619"/>
    <w:rsid w:val="00F029FD"/>
    <w:rsid w:val="00F9256E"/>
    <w:rsid w:val="00FB3587"/>
    <w:rsid w:val="00FE1A25"/>
    <w:rsid w:val="00FF2AC2"/>
    <w:rsid w:val="00FF5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86918"/>
    <w:pPr>
      <w:keepNext/>
      <w:keepLines/>
      <w:spacing w:after="240"/>
      <w:outlineLvl w:val="1"/>
    </w:pPr>
    <w:rPr>
      <w:rFonts w:ascii="Calibri" w:eastAsia="Times New Roman" w:hAnsi="Calibri" w:cs="Times New Roman"/>
      <w:b/>
      <w:bCs/>
      <w:color w:val="8064A2" w:themeColor="accent4"/>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393"/>
  </w:style>
  <w:style w:type="paragraph" w:styleId="Footer">
    <w:name w:val="footer"/>
    <w:basedOn w:val="Normal"/>
    <w:link w:val="FooterChar"/>
    <w:uiPriority w:val="99"/>
    <w:unhideWhenUsed/>
    <w:rsid w:val="00033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393"/>
  </w:style>
  <w:style w:type="paragraph" w:styleId="BalloonText">
    <w:name w:val="Balloon Text"/>
    <w:basedOn w:val="Normal"/>
    <w:link w:val="BalloonTextChar"/>
    <w:uiPriority w:val="99"/>
    <w:semiHidden/>
    <w:unhideWhenUsed/>
    <w:rsid w:val="00033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393"/>
    <w:rPr>
      <w:rFonts w:ascii="Tahoma" w:hAnsi="Tahoma" w:cs="Tahoma"/>
      <w:sz w:val="16"/>
      <w:szCs w:val="16"/>
    </w:rPr>
  </w:style>
  <w:style w:type="table" w:styleId="TableGrid">
    <w:name w:val="Table Grid"/>
    <w:basedOn w:val="TableNormal"/>
    <w:uiPriority w:val="59"/>
    <w:rsid w:val="00BE54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2619"/>
    <w:pPr>
      <w:ind w:left="720"/>
      <w:contextualSpacing/>
    </w:pPr>
  </w:style>
  <w:style w:type="character" w:styleId="Hyperlink">
    <w:name w:val="Hyperlink"/>
    <w:basedOn w:val="DefaultParagraphFont"/>
    <w:uiPriority w:val="99"/>
    <w:unhideWhenUsed/>
    <w:rsid w:val="00F02619"/>
    <w:rPr>
      <w:color w:val="0000FF" w:themeColor="hyperlink"/>
      <w:u w:val="single"/>
    </w:rPr>
  </w:style>
  <w:style w:type="table" w:styleId="LightShading-Accent4">
    <w:name w:val="Light Shading Accent 4"/>
    <w:basedOn w:val="TableNormal"/>
    <w:uiPriority w:val="60"/>
    <w:rsid w:val="00C02BF3"/>
    <w:pPr>
      <w:spacing w:after="0" w:line="240" w:lineRule="auto"/>
    </w:pPr>
    <w:rPr>
      <w:rFonts w:eastAsiaTheme="minorEastAsia"/>
      <w:color w:val="5F497A" w:themeColor="accent4" w:themeShade="BF"/>
      <w:lang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2Char">
    <w:name w:val="Heading 2 Char"/>
    <w:basedOn w:val="DefaultParagraphFont"/>
    <w:link w:val="Heading2"/>
    <w:uiPriority w:val="9"/>
    <w:rsid w:val="00286918"/>
    <w:rPr>
      <w:rFonts w:ascii="Calibri" w:eastAsia="Times New Roman" w:hAnsi="Calibri" w:cs="Times New Roman"/>
      <w:b/>
      <w:bCs/>
      <w:color w:val="8064A2" w:themeColor="accent4"/>
      <w:sz w:val="26"/>
      <w:szCs w:val="26"/>
      <w:lang w:eastAsia="en-GB"/>
    </w:rPr>
  </w:style>
  <w:style w:type="paragraph" w:customStyle="1" w:styleId="Quick">
    <w:name w:val="Quick ­"/>
    <w:basedOn w:val="Normal"/>
    <w:rsid w:val="009253D5"/>
    <w:pPr>
      <w:widowControl w:val="0"/>
      <w:spacing w:after="0" w:line="240" w:lineRule="auto"/>
      <w:ind w:left="720" w:hanging="720"/>
    </w:pPr>
    <w:rPr>
      <w:rFonts w:ascii="CG Times" w:eastAsia="Times New Roman" w:hAnsi="CG Times" w:cs="Times New Roman"/>
      <w:snapToGrid w:val="0"/>
      <w:sz w:val="24"/>
      <w:szCs w:val="20"/>
      <w:lang w:val="en-US"/>
    </w:rPr>
  </w:style>
  <w:style w:type="paragraph" w:customStyle="1" w:styleId="requirements">
    <w:name w:val="requirements"/>
    <w:basedOn w:val="Normal"/>
    <w:link w:val="requirementsChar"/>
    <w:qFormat/>
    <w:rsid w:val="00FE1A25"/>
    <w:pPr>
      <w:autoSpaceDE w:val="0"/>
      <w:autoSpaceDN w:val="0"/>
      <w:adjustRightInd w:val="0"/>
      <w:spacing w:after="160" w:line="259" w:lineRule="auto"/>
    </w:pPr>
    <w:rPr>
      <w:rFonts w:eastAsia="Times New Roman" w:cs="Times New Roman"/>
      <w:i/>
      <w:sz w:val="20"/>
      <w:szCs w:val="20"/>
      <w:lang w:eastAsia="en-GB"/>
    </w:rPr>
  </w:style>
  <w:style w:type="character" w:customStyle="1" w:styleId="requirementsChar">
    <w:name w:val="requirements Char"/>
    <w:basedOn w:val="DefaultParagraphFont"/>
    <w:link w:val="requirements"/>
    <w:rsid w:val="00FE1A25"/>
    <w:rPr>
      <w:rFonts w:eastAsia="Times New Roman" w:cs="Times New Roman"/>
      <w:i/>
      <w:sz w:val="20"/>
      <w:szCs w:val="20"/>
      <w:lang w:eastAsia="en-GB"/>
    </w:rPr>
  </w:style>
  <w:style w:type="character" w:styleId="CommentReference">
    <w:name w:val="annotation reference"/>
    <w:basedOn w:val="DefaultParagraphFont"/>
    <w:uiPriority w:val="99"/>
    <w:semiHidden/>
    <w:unhideWhenUsed/>
    <w:rsid w:val="00DB6153"/>
    <w:rPr>
      <w:sz w:val="16"/>
      <w:szCs w:val="16"/>
    </w:rPr>
  </w:style>
  <w:style w:type="paragraph" w:styleId="CommentText">
    <w:name w:val="annotation text"/>
    <w:basedOn w:val="Normal"/>
    <w:link w:val="CommentTextChar"/>
    <w:uiPriority w:val="99"/>
    <w:semiHidden/>
    <w:unhideWhenUsed/>
    <w:rsid w:val="00DB6153"/>
    <w:pPr>
      <w:spacing w:line="240" w:lineRule="auto"/>
    </w:pPr>
    <w:rPr>
      <w:sz w:val="20"/>
      <w:szCs w:val="20"/>
    </w:rPr>
  </w:style>
  <w:style w:type="character" w:customStyle="1" w:styleId="CommentTextChar">
    <w:name w:val="Comment Text Char"/>
    <w:basedOn w:val="DefaultParagraphFont"/>
    <w:link w:val="CommentText"/>
    <w:uiPriority w:val="99"/>
    <w:semiHidden/>
    <w:rsid w:val="00DB6153"/>
    <w:rPr>
      <w:sz w:val="20"/>
      <w:szCs w:val="20"/>
    </w:rPr>
  </w:style>
  <w:style w:type="paragraph" w:styleId="CommentSubject">
    <w:name w:val="annotation subject"/>
    <w:basedOn w:val="CommentText"/>
    <w:next w:val="CommentText"/>
    <w:link w:val="CommentSubjectChar"/>
    <w:uiPriority w:val="99"/>
    <w:semiHidden/>
    <w:unhideWhenUsed/>
    <w:rsid w:val="00DB6153"/>
    <w:rPr>
      <w:b/>
      <w:bCs/>
    </w:rPr>
  </w:style>
  <w:style w:type="character" w:customStyle="1" w:styleId="CommentSubjectChar">
    <w:name w:val="Comment Subject Char"/>
    <w:basedOn w:val="CommentTextChar"/>
    <w:link w:val="CommentSubject"/>
    <w:uiPriority w:val="99"/>
    <w:semiHidden/>
    <w:rsid w:val="00DB615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86918"/>
    <w:pPr>
      <w:keepNext/>
      <w:keepLines/>
      <w:spacing w:after="240"/>
      <w:outlineLvl w:val="1"/>
    </w:pPr>
    <w:rPr>
      <w:rFonts w:ascii="Calibri" w:eastAsia="Times New Roman" w:hAnsi="Calibri" w:cs="Times New Roman"/>
      <w:b/>
      <w:bCs/>
      <w:color w:val="8064A2" w:themeColor="accent4"/>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393"/>
  </w:style>
  <w:style w:type="paragraph" w:styleId="Footer">
    <w:name w:val="footer"/>
    <w:basedOn w:val="Normal"/>
    <w:link w:val="FooterChar"/>
    <w:uiPriority w:val="99"/>
    <w:unhideWhenUsed/>
    <w:rsid w:val="00033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393"/>
  </w:style>
  <w:style w:type="paragraph" w:styleId="BalloonText">
    <w:name w:val="Balloon Text"/>
    <w:basedOn w:val="Normal"/>
    <w:link w:val="BalloonTextChar"/>
    <w:uiPriority w:val="99"/>
    <w:semiHidden/>
    <w:unhideWhenUsed/>
    <w:rsid w:val="00033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393"/>
    <w:rPr>
      <w:rFonts w:ascii="Tahoma" w:hAnsi="Tahoma" w:cs="Tahoma"/>
      <w:sz w:val="16"/>
      <w:szCs w:val="16"/>
    </w:rPr>
  </w:style>
  <w:style w:type="table" w:styleId="TableGrid">
    <w:name w:val="Table Grid"/>
    <w:basedOn w:val="TableNormal"/>
    <w:uiPriority w:val="59"/>
    <w:rsid w:val="00BE54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2619"/>
    <w:pPr>
      <w:ind w:left="720"/>
      <w:contextualSpacing/>
    </w:pPr>
  </w:style>
  <w:style w:type="character" w:styleId="Hyperlink">
    <w:name w:val="Hyperlink"/>
    <w:basedOn w:val="DefaultParagraphFont"/>
    <w:uiPriority w:val="99"/>
    <w:unhideWhenUsed/>
    <w:rsid w:val="00F02619"/>
    <w:rPr>
      <w:color w:val="0000FF" w:themeColor="hyperlink"/>
      <w:u w:val="single"/>
    </w:rPr>
  </w:style>
  <w:style w:type="table" w:styleId="LightShading-Accent4">
    <w:name w:val="Light Shading Accent 4"/>
    <w:basedOn w:val="TableNormal"/>
    <w:uiPriority w:val="60"/>
    <w:rsid w:val="00C02BF3"/>
    <w:pPr>
      <w:spacing w:after="0" w:line="240" w:lineRule="auto"/>
    </w:pPr>
    <w:rPr>
      <w:rFonts w:eastAsiaTheme="minorEastAsia"/>
      <w:color w:val="5F497A" w:themeColor="accent4" w:themeShade="BF"/>
      <w:lang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2Char">
    <w:name w:val="Heading 2 Char"/>
    <w:basedOn w:val="DefaultParagraphFont"/>
    <w:link w:val="Heading2"/>
    <w:uiPriority w:val="9"/>
    <w:rsid w:val="00286918"/>
    <w:rPr>
      <w:rFonts w:ascii="Calibri" w:eastAsia="Times New Roman" w:hAnsi="Calibri" w:cs="Times New Roman"/>
      <w:b/>
      <w:bCs/>
      <w:color w:val="8064A2" w:themeColor="accent4"/>
      <w:sz w:val="26"/>
      <w:szCs w:val="26"/>
      <w:lang w:eastAsia="en-GB"/>
    </w:rPr>
  </w:style>
  <w:style w:type="paragraph" w:customStyle="1" w:styleId="Quick">
    <w:name w:val="Quick ­"/>
    <w:basedOn w:val="Normal"/>
    <w:rsid w:val="009253D5"/>
    <w:pPr>
      <w:widowControl w:val="0"/>
      <w:spacing w:after="0" w:line="240" w:lineRule="auto"/>
      <w:ind w:left="720" w:hanging="720"/>
    </w:pPr>
    <w:rPr>
      <w:rFonts w:ascii="CG Times" w:eastAsia="Times New Roman" w:hAnsi="CG Times" w:cs="Times New Roman"/>
      <w:snapToGrid w:val="0"/>
      <w:sz w:val="24"/>
      <w:szCs w:val="20"/>
      <w:lang w:val="en-US"/>
    </w:rPr>
  </w:style>
  <w:style w:type="paragraph" w:customStyle="1" w:styleId="requirements">
    <w:name w:val="requirements"/>
    <w:basedOn w:val="Normal"/>
    <w:link w:val="requirementsChar"/>
    <w:qFormat/>
    <w:rsid w:val="00FE1A25"/>
    <w:pPr>
      <w:autoSpaceDE w:val="0"/>
      <w:autoSpaceDN w:val="0"/>
      <w:adjustRightInd w:val="0"/>
      <w:spacing w:after="160" w:line="259" w:lineRule="auto"/>
    </w:pPr>
    <w:rPr>
      <w:rFonts w:eastAsia="Times New Roman" w:cs="Times New Roman"/>
      <w:i/>
      <w:sz w:val="20"/>
      <w:szCs w:val="20"/>
      <w:lang w:eastAsia="en-GB"/>
    </w:rPr>
  </w:style>
  <w:style w:type="character" w:customStyle="1" w:styleId="requirementsChar">
    <w:name w:val="requirements Char"/>
    <w:basedOn w:val="DefaultParagraphFont"/>
    <w:link w:val="requirements"/>
    <w:rsid w:val="00FE1A25"/>
    <w:rPr>
      <w:rFonts w:eastAsia="Times New Roman" w:cs="Times New Roman"/>
      <w:i/>
      <w:sz w:val="20"/>
      <w:szCs w:val="20"/>
      <w:lang w:eastAsia="en-GB"/>
    </w:rPr>
  </w:style>
  <w:style w:type="character" w:styleId="CommentReference">
    <w:name w:val="annotation reference"/>
    <w:basedOn w:val="DefaultParagraphFont"/>
    <w:uiPriority w:val="99"/>
    <w:semiHidden/>
    <w:unhideWhenUsed/>
    <w:rsid w:val="00DB6153"/>
    <w:rPr>
      <w:sz w:val="16"/>
      <w:szCs w:val="16"/>
    </w:rPr>
  </w:style>
  <w:style w:type="paragraph" w:styleId="CommentText">
    <w:name w:val="annotation text"/>
    <w:basedOn w:val="Normal"/>
    <w:link w:val="CommentTextChar"/>
    <w:uiPriority w:val="99"/>
    <w:semiHidden/>
    <w:unhideWhenUsed/>
    <w:rsid w:val="00DB6153"/>
    <w:pPr>
      <w:spacing w:line="240" w:lineRule="auto"/>
    </w:pPr>
    <w:rPr>
      <w:sz w:val="20"/>
      <w:szCs w:val="20"/>
    </w:rPr>
  </w:style>
  <w:style w:type="character" w:customStyle="1" w:styleId="CommentTextChar">
    <w:name w:val="Comment Text Char"/>
    <w:basedOn w:val="DefaultParagraphFont"/>
    <w:link w:val="CommentText"/>
    <w:uiPriority w:val="99"/>
    <w:semiHidden/>
    <w:rsid w:val="00DB6153"/>
    <w:rPr>
      <w:sz w:val="20"/>
      <w:szCs w:val="20"/>
    </w:rPr>
  </w:style>
  <w:style w:type="paragraph" w:styleId="CommentSubject">
    <w:name w:val="annotation subject"/>
    <w:basedOn w:val="CommentText"/>
    <w:next w:val="CommentText"/>
    <w:link w:val="CommentSubjectChar"/>
    <w:uiPriority w:val="99"/>
    <w:semiHidden/>
    <w:unhideWhenUsed/>
    <w:rsid w:val="00DB6153"/>
    <w:rPr>
      <w:b/>
      <w:bCs/>
    </w:rPr>
  </w:style>
  <w:style w:type="character" w:customStyle="1" w:styleId="CommentSubjectChar">
    <w:name w:val="Comment Subject Char"/>
    <w:basedOn w:val="CommentTextChar"/>
    <w:link w:val="CommentSubject"/>
    <w:uiPriority w:val="99"/>
    <w:semiHidden/>
    <w:rsid w:val="00DB61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8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aturalresources.wales/media/682358/how-to-comply-with-landspreading-permitting-tgn-epr-801-v5.pdf" TargetMode="External"/><Relationship Id="rId18" Type="http://schemas.openxmlformats.org/officeDocument/2006/relationships/hyperlink" Target="https://naturalresources.wales/permits-and-permissions/environmental-permits/horizontal-guidance/?lang=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v.uk/guidance/develop-a-management-system-environmental-permits" TargetMode="External"/><Relationship Id="rId7" Type="http://schemas.openxmlformats.org/officeDocument/2006/relationships/footnotes" Target="footnotes.xml"/><Relationship Id="rId12" Type="http://schemas.openxmlformats.org/officeDocument/2006/relationships/hyperlink" Target="https://www.gov.uk/government/uploads/system/uploads/attachment_data/file/290130/LIT_5492_40c081.pdf" TargetMode="External"/><Relationship Id="rId17" Type="http://schemas.openxmlformats.org/officeDocument/2006/relationships/hyperlink" Target="https://www.gov.uk/government/uploads/system/uploads/attachment_data/file/296737/geho0411btqm-e-e.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how-to-classify-different-types-of-waste" TargetMode="External"/><Relationship Id="rId20" Type="http://schemas.openxmlformats.org/officeDocument/2006/relationships/hyperlink" Target="https://cdn.naturalresources.wales/media/678839/part-lpd1_guidance_final.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amitab.org.uk/competence/continuing-competence/test-score-calculator/" TargetMode="External"/><Relationship Id="rId5" Type="http://schemas.openxmlformats.org/officeDocument/2006/relationships/settings" Target="settings.xml"/><Relationship Id="rId15" Type="http://schemas.openxmlformats.org/officeDocument/2006/relationships/hyperlink" Target="http://www.legislation.gov.uk/uksi/2011/988/regulation/12/made" TargetMode="External"/><Relationship Id="rId23" Type="http://schemas.openxmlformats.org/officeDocument/2006/relationships/hyperlink" Target="https://www.gov.uk/government/collections/pollution-prevention-guidance-ppg" TargetMode="External"/><Relationship Id="rId10" Type="http://schemas.openxmlformats.org/officeDocument/2006/relationships/header" Target="header1.xml"/><Relationship Id="rId19" Type="http://schemas.openxmlformats.org/officeDocument/2006/relationships/hyperlink" Target="http://webarchive.nationalarchives.gov.uk/20140328084622/http:/cdn.environment-agency.gov.uk/geho0911budi-e-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v.uk/government/uploads/system/uploads/attachment_data/file/298118/LIT_8199_dd704c.pdff" TargetMode="External"/><Relationship Id="rId22" Type="http://schemas.openxmlformats.org/officeDocument/2006/relationships/hyperlink" Target="https://www.gov.uk/guidance/pollution-prevention-for-busine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88EF20B-55B7-46DC-A7C2-D8E96C0A9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Wamitab</Company>
  <LinksUpToDate>false</LinksUpToDate>
  <CharactersWithSpaces>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Kemp</dc:creator>
  <cp:lastModifiedBy>Sophie Howard</cp:lastModifiedBy>
  <cp:revision>2</cp:revision>
  <cp:lastPrinted>2018-11-07T09:57:00Z</cp:lastPrinted>
  <dcterms:created xsi:type="dcterms:W3CDTF">2019-02-18T16:25:00Z</dcterms:created>
  <dcterms:modified xsi:type="dcterms:W3CDTF">2019-02-18T16:25:00Z</dcterms:modified>
</cp:coreProperties>
</file>