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4214F5" w:rsidP="00A6136C">
      <w:pPr>
        <w:spacing w:before="240" w:after="0"/>
        <w:rPr>
          <w:b/>
          <w:color w:val="7030A0"/>
          <w:sz w:val="24"/>
        </w:rPr>
      </w:pPr>
      <w:bookmarkStart w:id="0" w:name="_GoBack"/>
      <w:bookmarkEnd w:id="0"/>
      <w:r>
        <w:rPr>
          <w:b/>
          <w:color w:val="7030A0"/>
          <w:sz w:val="24"/>
        </w:rPr>
        <w:t>Metal Recycling Sites</w:t>
      </w:r>
    </w:p>
    <w:p w:rsidR="00A6136C" w:rsidRDefault="00A6136C" w:rsidP="00A6136C">
      <w:pPr>
        <w:spacing w:after="0"/>
        <w:rPr>
          <w:b/>
        </w:rPr>
      </w:pPr>
      <w:r>
        <w:rPr>
          <w:b/>
        </w:rPr>
        <w:t>Content Changes 2016-2018 Revision Guide</w:t>
      </w:r>
    </w:p>
    <w:p w:rsidR="005B56BE" w:rsidRPr="005B56BE" w:rsidRDefault="005B56BE" w:rsidP="005B56BE">
      <w:pPr>
        <w:spacing w:after="0"/>
        <w:rPr>
          <w:rFonts w:ascii="Calibri" w:eastAsia="Calibri" w:hAnsi="Calibri" w:cs="Times New Roman"/>
          <w:b/>
          <w:i/>
        </w:rPr>
      </w:pPr>
      <w:r w:rsidRPr="005B56BE">
        <w:rPr>
          <w:rFonts w:ascii="Calibri" w:eastAsia="Calibri" w:hAnsi="Calibri" w:cs="Times New Roman"/>
          <w:b/>
          <w:i/>
        </w:rPr>
        <w:t xml:space="preserve">All page numbers refer to the 2016-2018 Revision Guides with red covers. </w:t>
      </w:r>
    </w:p>
    <w:p w:rsidR="005B56BE" w:rsidRDefault="005B56BE" w:rsidP="00A6136C">
      <w:pPr>
        <w:spacing w:after="0"/>
        <w:rPr>
          <w:b/>
        </w:rPr>
      </w:pPr>
    </w:p>
    <w:p w:rsidR="00DA45AD" w:rsidRDefault="004214F5" w:rsidP="00D3465C">
      <w:pPr>
        <w:spacing w:line="240" w:lineRule="auto"/>
        <w:rPr>
          <w:i/>
          <w:color w:val="7030A0"/>
        </w:rPr>
      </w:pPr>
      <w:r>
        <w:rPr>
          <w:i/>
          <w:color w:val="7030A0"/>
        </w:rPr>
        <w:t>Section 1</w:t>
      </w:r>
      <w:r w:rsidR="00DA45AD">
        <w:rPr>
          <w:i/>
          <w:color w:val="7030A0"/>
        </w:rPr>
        <w:t xml:space="preserve">: </w:t>
      </w:r>
      <w:r>
        <w:rPr>
          <w:i/>
          <w:color w:val="7030A0"/>
        </w:rPr>
        <w:t>Receipt of Metal</w:t>
      </w:r>
      <w:r w:rsidR="00DA45AD">
        <w:rPr>
          <w:i/>
          <w:color w:val="7030A0"/>
        </w:rPr>
        <w:t xml:space="preserve">, page </w:t>
      </w:r>
      <w:r>
        <w:rPr>
          <w:i/>
          <w:color w:val="7030A0"/>
        </w:rPr>
        <w:t>17</w:t>
      </w:r>
    </w:p>
    <w:p w:rsidR="004214F5" w:rsidRPr="004214F5" w:rsidRDefault="004214F5" w:rsidP="00D3465C">
      <w:pPr>
        <w:spacing w:line="240" w:lineRule="auto"/>
      </w:pPr>
      <w:r w:rsidRPr="004214F5">
        <w:t>The dealer must record the following information when disposing of metal:</w:t>
      </w:r>
    </w:p>
    <w:p w:rsidR="004214F5" w:rsidRPr="004214F5" w:rsidRDefault="004214F5" w:rsidP="00D3465C">
      <w:pPr>
        <w:pStyle w:val="ListParagraph"/>
        <w:numPr>
          <w:ilvl w:val="0"/>
          <w:numId w:val="11"/>
        </w:numPr>
        <w:spacing w:line="240" w:lineRule="auto"/>
      </w:pPr>
      <w:r w:rsidRPr="004214F5">
        <w:t>The description of the metal.</w:t>
      </w:r>
    </w:p>
    <w:p w:rsidR="004214F5" w:rsidRPr="004214F5" w:rsidRDefault="004214F5" w:rsidP="00D3465C">
      <w:pPr>
        <w:pStyle w:val="ListParagraph"/>
        <w:numPr>
          <w:ilvl w:val="0"/>
          <w:numId w:val="11"/>
        </w:numPr>
        <w:spacing w:line="240" w:lineRule="auto"/>
      </w:pPr>
      <w:r w:rsidRPr="004214F5">
        <w:t>The date and time of its disposal.</w:t>
      </w:r>
    </w:p>
    <w:p w:rsidR="004214F5" w:rsidRPr="004214F5" w:rsidRDefault="004214F5" w:rsidP="00D3465C">
      <w:pPr>
        <w:pStyle w:val="ListParagraph"/>
        <w:numPr>
          <w:ilvl w:val="0"/>
          <w:numId w:val="11"/>
        </w:numPr>
        <w:spacing w:line="240" w:lineRule="auto"/>
      </w:pPr>
      <w:r w:rsidRPr="004214F5">
        <w:t>If the disposal is to another person, their full name and address.</w:t>
      </w:r>
    </w:p>
    <w:p w:rsidR="004214F5" w:rsidRPr="004214F5" w:rsidRDefault="004214F5" w:rsidP="00D3465C">
      <w:pPr>
        <w:pStyle w:val="ListParagraph"/>
        <w:numPr>
          <w:ilvl w:val="0"/>
          <w:numId w:val="11"/>
        </w:numPr>
        <w:spacing w:line="240" w:lineRule="auto"/>
      </w:pPr>
      <w:r w:rsidRPr="004214F5">
        <w:t>If the dealer receives payment for the metal, the price or other consideration received.</w:t>
      </w:r>
    </w:p>
    <w:p w:rsidR="004214F5" w:rsidRDefault="004214F5" w:rsidP="00D3465C">
      <w:pPr>
        <w:spacing w:line="240" w:lineRule="auto"/>
        <w:rPr>
          <w:i/>
          <w:color w:val="7030A0"/>
        </w:rPr>
      </w:pPr>
      <w:r>
        <w:rPr>
          <w:i/>
          <w:color w:val="7030A0"/>
        </w:rPr>
        <w:t>NEW Learning Outcome 1.15: Know the difference between a scrap metal licence and an environmental permit.</w:t>
      </w:r>
    </w:p>
    <w:p w:rsidR="004214F5" w:rsidRDefault="004214F5" w:rsidP="00D3465C">
      <w:pPr>
        <w:spacing w:line="240" w:lineRule="auto"/>
        <w:rPr>
          <w:i/>
          <w:color w:val="7030A0"/>
        </w:rPr>
      </w:pPr>
      <w:r>
        <w:rPr>
          <w:i/>
          <w:color w:val="7030A0"/>
        </w:rPr>
        <w:t xml:space="preserve">Section 2: Storing </w:t>
      </w:r>
      <w:r w:rsidR="009D38EB">
        <w:rPr>
          <w:i/>
          <w:color w:val="7030A0"/>
        </w:rPr>
        <w:t>W</w:t>
      </w:r>
      <w:r>
        <w:rPr>
          <w:i/>
          <w:color w:val="7030A0"/>
        </w:rPr>
        <w:t xml:space="preserve">aste and </w:t>
      </w:r>
      <w:r w:rsidR="009D38EB">
        <w:rPr>
          <w:i/>
          <w:color w:val="7030A0"/>
        </w:rPr>
        <w:t>U</w:t>
      </w:r>
      <w:r>
        <w:rPr>
          <w:i/>
          <w:color w:val="7030A0"/>
        </w:rPr>
        <w:t xml:space="preserve">nauthorised </w:t>
      </w:r>
      <w:r w:rsidR="009D38EB">
        <w:rPr>
          <w:i/>
          <w:color w:val="7030A0"/>
        </w:rPr>
        <w:t>W</w:t>
      </w:r>
      <w:r>
        <w:rPr>
          <w:i/>
          <w:color w:val="7030A0"/>
        </w:rPr>
        <w:t>aste, page 23</w:t>
      </w:r>
    </w:p>
    <w:p w:rsidR="004214F5" w:rsidRDefault="004214F5" w:rsidP="00D3465C">
      <w:pPr>
        <w:spacing w:line="240" w:lineRule="auto"/>
        <w:rPr>
          <w:color w:val="000000" w:themeColor="text1"/>
        </w:rPr>
      </w:pPr>
      <w:r>
        <w:rPr>
          <w:color w:val="000000" w:themeColor="text1"/>
        </w:rPr>
        <w:t>An operator may commit an offence if they do not reject hazardous waste that arrives at their site when they are not permitted to accept it. Operators should be prepared for this situation and investigate any occurrences to prevent it happening again.</w:t>
      </w:r>
    </w:p>
    <w:p w:rsidR="004214F5" w:rsidRDefault="004214F5" w:rsidP="00D3465C">
      <w:pPr>
        <w:spacing w:line="240" w:lineRule="auto"/>
        <w:rPr>
          <w:color w:val="000000" w:themeColor="text1"/>
        </w:rPr>
      </w:pPr>
      <w:r>
        <w:rPr>
          <w:color w:val="000000" w:themeColor="text1"/>
        </w:rPr>
        <w:t>If a consignment contains two or more wastes an operator:</w:t>
      </w:r>
    </w:p>
    <w:p w:rsidR="004214F5" w:rsidRDefault="004214F5" w:rsidP="00D3465C">
      <w:pPr>
        <w:pStyle w:val="ListParagraph"/>
        <w:numPr>
          <w:ilvl w:val="0"/>
          <w:numId w:val="12"/>
        </w:numPr>
        <w:spacing w:line="240" w:lineRule="auto"/>
        <w:rPr>
          <w:color w:val="000000" w:themeColor="text1"/>
        </w:rPr>
      </w:pPr>
      <w:r>
        <w:rPr>
          <w:color w:val="000000" w:themeColor="text1"/>
        </w:rPr>
        <w:t>May choose to reject part of the consignment if the reason for rejection does not apply to all wastes.</w:t>
      </w:r>
    </w:p>
    <w:p w:rsidR="004214F5" w:rsidRDefault="004214F5" w:rsidP="00D3465C">
      <w:pPr>
        <w:pStyle w:val="ListParagraph"/>
        <w:numPr>
          <w:ilvl w:val="0"/>
          <w:numId w:val="12"/>
        </w:numPr>
        <w:spacing w:line="240" w:lineRule="auto"/>
        <w:rPr>
          <w:color w:val="000000" w:themeColor="text1"/>
        </w:rPr>
      </w:pPr>
      <w:r>
        <w:rPr>
          <w:color w:val="000000" w:themeColor="text1"/>
        </w:rPr>
        <w:t>Must follow the rejected loads procedure for the rejected waste.</w:t>
      </w:r>
    </w:p>
    <w:p w:rsidR="004214F5" w:rsidRPr="00C80237" w:rsidRDefault="004214F5" w:rsidP="00D3465C">
      <w:pPr>
        <w:pStyle w:val="ListParagraph"/>
        <w:numPr>
          <w:ilvl w:val="0"/>
          <w:numId w:val="12"/>
        </w:numPr>
        <w:spacing w:line="240" w:lineRule="auto"/>
        <w:rPr>
          <w:color w:val="000000" w:themeColor="text1"/>
        </w:rPr>
      </w:pPr>
      <w:r>
        <w:rPr>
          <w:color w:val="000000" w:themeColor="text1"/>
        </w:rPr>
        <w:t>Must follow the normal consignment and return procedure for the accepted waste.</w:t>
      </w:r>
    </w:p>
    <w:p w:rsidR="004214F5" w:rsidRPr="004214F5" w:rsidRDefault="004214F5" w:rsidP="00D3465C">
      <w:pPr>
        <w:spacing w:line="240" w:lineRule="auto"/>
        <w:rPr>
          <w:color w:val="000000" w:themeColor="text1"/>
        </w:rPr>
      </w:pPr>
      <w:r>
        <w:rPr>
          <w:color w:val="000000" w:themeColor="text1"/>
        </w:rPr>
        <w:t>However, if the wastes have been mixed or for any reason cannot be linked to a particular consignment, an operator must reject all the consignments.</w:t>
      </w:r>
    </w:p>
    <w:p w:rsidR="004214F5" w:rsidRDefault="004214F5" w:rsidP="00D3465C">
      <w:pPr>
        <w:spacing w:line="240" w:lineRule="auto"/>
        <w:rPr>
          <w:color w:val="000000" w:themeColor="text1"/>
        </w:rPr>
      </w:pPr>
      <w:r w:rsidRPr="004214F5">
        <w:rPr>
          <w:i/>
          <w:color w:val="7030A0"/>
        </w:rPr>
        <w:t>NEW Learning Outcome 2.10: Know how to store lead acid batteries, page 24.</w:t>
      </w:r>
      <w:r w:rsidRPr="004214F5">
        <w:rPr>
          <w:color w:val="000000" w:themeColor="text1"/>
        </w:rPr>
        <w:t xml:space="preserve"> </w:t>
      </w:r>
    </w:p>
    <w:p w:rsidR="00D3465C" w:rsidRDefault="004214F5" w:rsidP="00D3465C">
      <w:pPr>
        <w:spacing w:line="240" w:lineRule="auto"/>
        <w:rPr>
          <w:color w:val="000000" w:themeColor="text1"/>
        </w:rPr>
      </w:pPr>
      <w:r w:rsidRPr="004214F5">
        <w:rPr>
          <w:color w:val="000000" w:themeColor="text1"/>
        </w:rPr>
        <w:lastRenderedPageBreak/>
        <w:t xml:space="preserve">When storing </w:t>
      </w:r>
      <w:r w:rsidRPr="004214F5">
        <w:rPr>
          <w:b/>
          <w:color w:val="000000" w:themeColor="text1"/>
        </w:rPr>
        <w:t>lead acid batteries</w:t>
      </w:r>
      <w:r w:rsidRPr="004214F5">
        <w:rPr>
          <w:color w:val="000000" w:themeColor="text1"/>
        </w:rPr>
        <w:t xml:space="preserve">, treatment and any storage should take place in areas with impermeable surfaces and sealed drainage systems. </w:t>
      </w:r>
    </w:p>
    <w:p w:rsidR="004214F5" w:rsidRPr="004214F5" w:rsidRDefault="004214F5" w:rsidP="00D3465C">
      <w:pPr>
        <w:spacing w:line="240" w:lineRule="auto"/>
        <w:rPr>
          <w:color w:val="000000" w:themeColor="text1"/>
        </w:rPr>
      </w:pPr>
      <w:r w:rsidRPr="004214F5">
        <w:rPr>
          <w:color w:val="000000" w:themeColor="text1"/>
        </w:rPr>
        <w:t>There should be suitable weatherproof coverings or suitable containers with acid resistant base.</w:t>
      </w:r>
    </w:p>
    <w:p w:rsidR="004214F5" w:rsidRPr="004214F5" w:rsidRDefault="004214F5" w:rsidP="00D3465C">
      <w:pPr>
        <w:spacing w:line="240" w:lineRule="auto"/>
      </w:pPr>
      <w:r w:rsidRPr="004214F5">
        <w:t>All wastes should be treated on an impermeable surface with sealed drainage system.</w:t>
      </w:r>
    </w:p>
    <w:p w:rsidR="004214F5" w:rsidRDefault="004214F5" w:rsidP="00D3465C">
      <w:pPr>
        <w:spacing w:line="240" w:lineRule="auto"/>
        <w:rPr>
          <w:i/>
          <w:color w:val="7030A0"/>
        </w:rPr>
      </w:pPr>
      <w:r>
        <w:rPr>
          <w:i/>
          <w:color w:val="7030A0"/>
        </w:rPr>
        <w:t xml:space="preserve">Section 2: Tanks and </w:t>
      </w:r>
      <w:proofErr w:type="spellStart"/>
      <w:r w:rsidR="002A7135">
        <w:rPr>
          <w:i/>
          <w:color w:val="7030A0"/>
        </w:rPr>
        <w:t>B</w:t>
      </w:r>
      <w:r>
        <w:rPr>
          <w:i/>
          <w:color w:val="7030A0"/>
        </w:rPr>
        <w:t>unded</w:t>
      </w:r>
      <w:proofErr w:type="spellEnd"/>
      <w:r>
        <w:rPr>
          <w:i/>
          <w:color w:val="7030A0"/>
        </w:rPr>
        <w:t xml:space="preserve"> </w:t>
      </w:r>
      <w:r w:rsidR="002A7135">
        <w:rPr>
          <w:i/>
          <w:color w:val="7030A0"/>
        </w:rPr>
        <w:t>A</w:t>
      </w:r>
      <w:r>
        <w:rPr>
          <w:i/>
          <w:color w:val="7030A0"/>
        </w:rPr>
        <w:t>reas, page 26</w:t>
      </w:r>
    </w:p>
    <w:p w:rsidR="004214F5" w:rsidRDefault="004214F5" w:rsidP="00D3465C">
      <w:pPr>
        <w:pStyle w:val="ListParagraph"/>
        <w:numPr>
          <w:ilvl w:val="0"/>
          <w:numId w:val="14"/>
        </w:numPr>
        <w:spacing w:line="240" w:lineRule="auto"/>
        <w:rPr>
          <w:color w:val="000000" w:themeColor="text1"/>
        </w:rPr>
      </w:pPr>
      <w:r>
        <w:rPr>
          <w:color w:val="000000" w:themeColor="text1"/>
        </w:rPr>
        <w:t>Tanks above ground should be sited in a well-ventilated position separated from the site boundary, occupied buildings, sources of ignition and process areas.</w:t>
      </w:r>
    </w:p>
    <w:p w:rsidR="004214F5" w:rsidRPr="00C611B5" w:rsidRDefault="004214F5" w:rsidP="00D3465C">
      <w:pPr>
        <w:pStyle w:val="ListParagraph"/>
        <w:numPr>
          <w:ilvl w:val="0"/>
          <w:numId w:val="14"/>
        </w:numPr>
        <w:spacing w:line="240" w:lineRule="auto"/>
      </w:pPr>
      <w:r>
        <w:rPr>
          <w:color w:val="000000" w:themeColor="text1"/>
        </w:rPr>
        <w:t xml:space="preserve">The layout of tanks should always take into account the accessibility needed for </w:t>
      </w:r>
      <w:r w:rsidRPr="00C611B5">
        <w:t>emergency services.</w:t>
      </w:r>
    </w:p>
    <w:p w:rsidR="004214F5" w:rsidRPr="00C611B5" w:rsidRDefault="004214F5" w:rsidP="00D3465C">
      <w:pPr>
        <w:pStyle w:val="ListParagraph"/>
        <w:numPr>
          <w:ilvl w:val="0"/>
          <w:numId w:val="14"/>
        </w:numPr>
        <w:spacing w:line="240" w:lineRule="auto"/>
      </w:pPr>
      <w:r w:rsidRPr="00C611B5">
        <w:t xml:space="preserve">Secondary containment must hold at least 110% of the capacity of the largest storage vessel located within the bund or 25% of the total capacity of tanks in the bund. </w:t>
      </w:r>
    </w:p>
    <w:p w:rsidR="004214F5" w:rsidRPr="004214F5" w:rsidRDefault="004214F5" w:rsidP="00D3465C">
      <w:pPr>
        <w:pStyle w:val="ListParagraph"/>
        <w:numPr>
          <w:ilvl w:val="0"/>
          <w:numId w:val="14"/>
        </w:numPr>
        <w:spacing w:line="240" w:lineRule="auto"/>
        <w:rPr>
          <w:color w:val="FF0000"/>
        </w:rPr>
      </w:pPr>
      <w:r w:rsidRPr="00C611B5">
        <w:t xml:space="preserve">Tank, secondary containment and pipework checks </w:t>
      </w:r>
      <w:r w:rsidRPr="004214F5">
        <w:t>should be undertaken by a registered, competent technician or an employee with the appropriate qualifications, experience and competence.</w:t>
      </w:r>
    </w:p>
    <w:p w:rsidR="004214F5" w:rsidRDefault="004214F5" w:rsidP="00D3465C">
      <w:pPr>
        <w:spacing w:line="240" w:lineRule="auto"/>
        <w:rPr>
          <w:b/>
          <w:color w:val="7030A0"/>
        </w:rPr>
      </w:pPr>
      <w:proofErr w:type="spellStart"/>
      <w:r>
        <w:rPr>
          <w:b/>
          <w:color w:val="7030A0"/>
        </w:rPr>
        <w:t>Bunding</w:t>
      </w:r>
      <w:proofErr w:type="spellEnd"/>
    </w:p>
    <w:p w:rsidR="004214F5" w:rsidRDefault="004214F5" w:rsidP="00D3465C">
      <w:pPr>
        <w:spacing w:line="240" w:lineRule="auto"/>
      </w:pPr>
      <w:proofErr w:type="spellStart"/>
      <w:r>
        <w:t>Bunding</w:t>
      </w:r>
      <w:proofErr w:type="spellEnd"/>
      <w:r>
        <w:t xml:space="preserve"> is designed to:</w:t>
      </w:r>
    </w:p>
    <w:p w:rsidR="004214F5" w:rsidRDefault="004214F5" w:rsidP="00D3465C">
      <w:pPr>
        <w:pStyle w:val="ListParagraph"/>
        <w:numPr>
          <w:ilvl w:val="0"/>
          <w:numId w:val="15"/>
        </w:numPr>
        <w:spacing w:line="240" w:lineRule="auto"/>
      </w:pPr>
      <w:r>
        <w:t>Prevent flammable liquid or vapour from reaching ignition sources.</w:t>
      </w:r>
    </w:p>
    <w:p w:rsidR="004214F5" w:rsidRDefault="004214F5" w:rsidP="00D3465C">
      <w:pPr>
        <w:pStyle w:val="ListParagraph"/>
        <w:numPr>
          <w:ilvl w:val="0"/>
          <w:numId w:val="15"/>
        </w:numPr>
        <w:spacing w:line="240" w:lineRule="auto"/>
      </w:pPr>
      <w:r>
        <w:t>Prevent the liquid entering drains or water systems.</w:t>
      </w:r>
    </w:p>
    <w:p w:rsidR="004214F5" w:rsidRDefault="004214F5" w:rsidP="00D3465C">
      <w:pPr>
        <w:pStyle w:val="ListParagraph"/>
        <w:numPr>
          <w:ilvl w:val="0"/>
          <w:numId w:val="15"/>
        </w:numPr>
        <w:spacing w:line="240" w:lineRule="auto"/>
      </w:pPr>
      <w:r>
        <w:t>Allow the recovery or treatment of spilled liquid.</w:t>
      </w:r>
    </w:p>
    <w:p w:rsidR="004214F5" w:rsidRDefault="004214F5" w:rsidP="00D3465C">
      <w:pPr>
        <w:pStyle w:val="ListParagraph"/>
        <w:numPr>
          <w:ilvl w:val="0"/>
          <w:numId w:val="15"/>
        </w:numPr>
        <w:spacing w:line="240" w:lineRule="auto"/>
      </w:pPr>
      <w:r>
        <w:t>Reduce the surface area of liquid, limiting the size of any fire that may occur.</w:t>
      </w:r>
    </w:p>
    <w:p w:rsidR="004214F5" w:rsidRDefault="004214F5" w:rsidP="00D3465C">
      <w:pPr>
        <w:pStyle w:val="ListParagraph"/>
        <w:numPr>
          <w:ilvl w:val="0"/>
          <w:numId w:val="15"/>
        </w:numPr>
        <w:spacing w:line="240" w:lineRule="auto"/>
      </w:pPr>
      <w:r>
        <w:t>Prevent the spread of liquids that have caught fire.</w:t>
      </w:r>
    </w:p>
    <w:p w:rsidR="004214F5" w:rsidRDefault="004214F5" w:rsidP="00D3465C">
      <w:pPr>
        <w:pStyle w:val="ListParagraph"/>
        <w:numPr>
          <w:ilvl w:val="0"/>
          <w:numId w:val="15"/>
        </w:numPr>
        <w:spacing w:line="240" w:lineRule="auto"/>
      </w:pPr>
      <w:r>
        <w:t>Contain water used to fight fires or to cool tanks.</w:t>
      </w:r>
    </w:p>
    <w:p w:rsidR="004214F5" w:rsidRPr="004314B9" w:rsidRDefault="004214F5" w:rsidP="00D3465C">
      <w:pPr>
        <w:pStyle w:val="ListParagraph"/>
        <w:numPr>
          <w:ilvl w:val="0"/>
          <w:numId w:val="15"/>
        </w:numPr>
        <w:spacing w:line="240" w:lineRule="auto"/>
      </w:pPr>
      <w:r>
        <w:t>Prevent contamination of land and water.</w:t>
      </w:r>
    </w:p>
    <w:p w:rsidR="004214F5" w:rsidRDefault="004214F5" w:rsidP="004214F5">
      <w:pPr>
        <w:rPr>
          <w:b/>
          <w:color w:val="7030A0"/>
        </w:rPr>
      </w:pPr>
    </w:p>
    <w:p w:rsidR="00D3465C" w:rsidRDefault="00D3465C" w:rsidP="00D3465C">
      <w:pPr>
        <w:spacing w:line="240" w:lineRule="auto"/>
        <w:rPr>
          <w:i/>
          <w:color w:val="7030A0"/>
        </w:rPr>
      </w:pPr>
    </w:p>
    <w:p w:rsidR="00D3465C" w:rsidRDefault="00D3465C" w:rsidP="00D3465C">
      <w:pPr>
        <w:spacing w:line="240" w:lineRule="auto"/>
        <w:rPr>
          <w:i/>
          <w:color w:val="7030A0"/>
        </w:rPr>
      </w:pPr>
      <w:r>
        <w:rPr>
          <w:i/>
          <w:color w:val="7030A0"/>
        </w:rPr>
        <w:t>Section 2: Spillages and Cylinders, page 27</w:t>
      </w:r>
    </w:p>
    <w:p w:rsidR="00D3465C" w:rsidRDefault="00D3465C" w:rsidP="00D3465C">
      <w:pPr>
        <w:pStyle w:val="ListParagraph"/>
        <w:numPr>
          <w:ilvl w:val="0"/>
          <w:numId w:val="16"/>
        </w:numPr>
        <w:rPr>
          <w:color w:val="000000" w:themeColor="text1"/>
        </w:rPr>
      </w:pPr>
      <w:r>
        <w:rPr>
          <w:color w:val="000000" w:themeColor="text1"/>
        </w:rPr>
        <w:t>Emissions of substances not controlled by emissions limits should not cause pollution.</w:t>
      </w:r>
    </w:p>
    <w:p w:rsidR="00D3465C" w:rsidRDefault="00D3465C" w:rsidP="00D3465C">
      <w:pPr>
        <w:pStyle w:val="ListParagraph"/>
        <w:numPr>
          <w:ilvl w:val="0"/>
          <w:numId w:val="16"/>
        </w:numPr>
        <w:rPr>
          <w:color w:val="000000" w:themeColor="text1"/>
        </w:rPr>
      </w:pPr>
      <w:r>
        <w:rPr>
          <w:color w:val="000000" w:themeColor="text1"/>
        </w:rPr>
        <w:t>The operator should not breach the conditions of the permit for emissions if they take the appropriate measures specified in any approved emissions management plan.</w:t>
      </w:r>
    </w:p>
    <w:p w:rsidR="00D3465C" w:rsidRPr="008D1B30" w:rsidRDefault="00D3465C" w:rsidP="00D3465C">
      <w:pPr>
        <w:pStyle w:val="ListParagraph"/>
        <w:numPr>
          <w:ilvl w:val="0"/>
          <w:numId w:val="16"/>
        </w:numPr>
        <w:rPr>
          <w:color w:val="000000" w:themeColor="text1"/>
        </w:rPr>
      </w:pPr>
      <w:r>
        <w:rPr>
          <w:color w:val="000000" w:themeColor="text1"/>
        </w:rPr>
        <w:t>If notified by the environmental regulator that site activities are causing pollution, the operator should submit an emissions management plan to the environmental regulator. The operator should then implement the plan once they receive confirmation from the environmental regulator that it has been approved.</w:t>
      </w:r>
    </w:p>
    <w:p w:rsidR="00D3465C" w:rsidRDefault="00D3465C" w:rsidP="00D3465C">
      <w:pPr>
        <w:spacing w:line="240" w:lineRule="auto"/>
        <w:rPr>
          <w:b/>
          <w:color w:val="7030A0"/>
        </w:rPr>
      </w:pPr>
      <w:r>
        <w:rPr>
          <w:b/>
          <w:color w:val="7030A0"/>
        </w:rPr>
        <w:t>Safe Storage of Gas Cylinders</w:t>
      </w:r>
    </w:p>
    <w:p w:rsidR="00D3465C" w:rsidRDefault="00D3465C" w:rsidP="00D3465C">
      <w:pPr>
        <w:pStyle w:val="ListParagraph"/>
        <w:numPr>
          <w:ilvl w:val="0"/>
          <w:numId w:val="17"/>
        </w:numPr>
        <w:spacing w:line="240" w:lineRule="auto"/>
        <w:rPr>
          <w:color w:val="000000" w:themeColor="text1"/>
        </w:rPr>
      </w:pPr>
      <w:r>
        <w:rPr>
          <w:color w:val="000000" w:themeColor="text1"/>
        </w:rPr>
        <w:t>Do not exceed the storage cage safe capacity stated in the site risk assessment.</w:t>
      </w:r>
    </w:p>
    <w:p w:rsidR="00D3465C" w:rsidRDefault="00D3465C" w:rsidP="00D3465C">
      <w:pPr>
        <w:pStyle w:val="ListParagraph"/>
        <w:numPr>
          <w:ilvl w:val="0"/>
          <w:numId w:val="17"/>
        </w:numPr>
        <w:spacing w:line="240" w:lineRule="auto"/>
        <w:rPr>
          <w:color w:val="000000" w:themeColor="text1"/>
        </w:rPr>
      </w:pPr>
      <w:r>
        <w:rPr>
          <w:color w:val="000000" w:themeColor="text1"/>
        </w:rPr>
        <w:t xml:space="preserve">Do not stack cylinders – </w:t>
      </w:r>
      <w:r w:rsidR="00C776A7">
        <w:rPr>
          <w:color w:val="000000" w:themeColor="text1"/>
        </w:rPr>
        <w:t>s</w:t>
      </w:r>
      <w:r>
        <w:rPr>
          <w:color w:val="000000" w:themeColor="text1"/>
        </w:rPr>
        <w:t>tore them upright with seals and protection caps.</w:t>
      </w:r>
    </w:p>
    <w:p w:rsidR="00D3465C" w:rsidRDefault="00D3465C" w:rsidP="00D3465C">
      <w:pPr>
        <w:pStyle w:val="ListParagraph"/>
        <w:numPr>
          <w:ilvl w:val="0"/>
          <w:numId w:val="17"/>
        </w:numPr>
        <w:spacing w:line="240" w:lineRule="auto"/>
        <w:rPr>
          <w:color w:val="000000" w:themeColor="text1"/>
        </w:rPr>
      </w:pPr>
      <w:r>
        <w:rPr>
          <w:color w:val="000000" w:themeColor="text1"/>
        </w:rPr>
        <w:t>Prevent damage and risk of falling by fitting securing chains in the storage cage.</w:t>
      </w:r>
    </w:p>
    <w:p w:rsidR="00D3465C" w:rsidRPr="001F54CF" w:rsidRDefault="00D3465C" w:rsidP="00D3465C">
      <w:pPr>
        <w:pStyle w:val="ListParagraph"/>
        <w:numPr>
          <w:ilvl w:val="0"/>
          <w:numId w:val="17"/>
        </w:numPr>
        <w:spacing w:line="240" w:lineRule="auto"/>
        <w:rPr>
          <w:color w:val="000000" w:themeColor="text1"/>
        </w:rPr>
      </w:pPr>
      <w:r>
        <w:rPr>
          <w:color w:val="000000" w:themeColor="text1"/>
        </w:rPr>
        <w:t>Keep cylinders of similar content together in an area where collection vehicles can safely identify, lift and load cylinders.</w:t>
      </w:r>
    </w:p>
    <w:p w:rsidR="00D3465C" w:rsidRDefault="00D3465C" w:rsidP="00D3465C">
      <w:pPr>
        <w:pStyle w:val="ListParagraph"/>
        <w:numPr>
          <w:ilvl w:val="0"/>
          <w:numId w:val="17"/>
        </w:numPr>
        <w:spacing w:line="240" w:lineRule="auto"/>
        <w:rPr>
          <w:color w:val="000000" w:themeColor="text1"/>
        </w:rPr>
      </w:pPr>
      <w:r>
        <w:rPr>
          <w:color w:val="000000" w:themeColor="text1"/>
        </w:rPr>
        <w:t>Ensure there are no fixed ignition sources nearby.</w:t>
      </w:r>
    </w:p>
    <w:p w:rsidR="00D3465C" w:rsidRPr="00387554" w:rsidRDefault="00D3465C" w:rsidP="00D3465C">
      <w:pPr>
        <w:pStyle w:val="ListParagraph"/>
        <w:numPr>
          <w:ilvl w:val="0"/>
          <w:numId w:val="17"/>
        </w:numPr>
        <w:spacing w:line="240" w:lineRule="auto"/>
        <w:rPr>
          <w:color w:val="000000" w:themeColor="text1"/>
        </w:rPr>
      </w:pPr>
      <w:r>
        <w:rPr>
          <w:color w:val="000000" w:themeColor="text1"/>
        </w:rPr>
        <w:t>Store cylinders away from combustible materials, drains, potholes, sumps, doors and fire exits.</w:t>
      </w:r>
    </w:p>
    <w:p w:rsidR="00D3465C" w:rsidRDefault="00D3465C" w:rsidP="00D3465C">
      <w:pPr>
        <w:spacing w:line="240" w:lineRule="auto"/>
        <w:rPr>
          <w:i/>
          <w:color w:val="7030A0"/>
        </w:rPr>
      </w:pPr>
      <w:r w:rsidRPr="00D3465C">
        <w:rPr>
          <w:i/>
          <w:color w:val="7030A0"/>
        </w:rPr>
        <w:t xml:space="preserve">Section </w:t>
      </w:r>
      <w:r>
        <w:rPr>
          <w:i/>
          <w:color w:val="7030A0"/>
        </w:rPr>
        <w:t>4</w:t>
      </w:r>
      <w:r w:rsidRPr="00D3465C">
        <w:rPr>
          <w:i/>
          <w:color w:val="7030A0"/>
        </w:rPr>
        <w:t xml:space="preserve">: </w:t>
      </w:r>
      <w:r>
        <w:rPr>
          <w:i/>
          <w:color w:val="7030A0"/>
        </w:rPr>
        <w:t>Documentation</w:t>
      </w:r>
      <w:r w:rsidRPr="00D3465C">
        <w:rPr>
          <w:i/>
          <w:color w:val="7030A0"/>
        </w:rPr>
        <w:t xml:space="preserve">, page </w:t>
      </w:r>
      <w:r>
        <w:rPr>
          <w:i/>
          <w:color w:val="7030A0"/>
        </w:rPr>
        <w:t>35</w:t>
      </w:r>
    </w:p>
    <w:p w:rsidR="00D3465C" w:rsidRPr="00D3465C" w:rsidRDefault="00D3465C" w:rsidP="00D3465C">
      <w:r w:rsidRPr="00D3465C">
        <w:t>An operator must keep records of consignment notes, consignee returns and any related documents (e.g. carrier schedules).</w:t>
      </w:r>
    </w:p>
    <w:p w:rsidR="00D3465C" w:rsidRPr="00D3465C" w:rsidRDefault="00D3465C" w:rsidP="00D3465C">
      <w:pPr>
        <w:spacing w:line="240" w:lineRule="auto"/>
        <w:rPr>
          <w:b/>
          <w:color w:val="7030A0"/>
        </w:rPr>
      </w:pPr>
    </w:p>
    <w:p w:rsidR="00D3465C" w:rsidRPr="004214F5" w:rsidRDefault="00D3465C" w:rsidP="004214F5">
      <w:pPr>
        <w:rPr>
          <w:b/>
          <w:color w:val="7030A0"/>
        </w:rPr>
      </w:pPr>
    </w:p>
    <w:p w:rsidR="00772FB4" w:rsidRDefault="00772FB4" w:rsidP="00772FB4">
      <w:pPr>
        <w:rPr>
          <w:i/>
          <w:color w:val="7030A0"/>
        </w:rPr>
      </w:pPr>
    </w:p>
    <w:p w:rsidR="007B3F87" w:rsidRDefault="007B3F87" w:rsidP="00772FB4">
      <w:pPr>
        <w:rPr>
          <w:i/>
          <w:color w:val="7030A0"/>
        </w:rPr>
      </w:pPr>
    </w:p>
    <w:p w:rsidR="00772FB4" w:rsidRPr="00C02BF3" w:rsidRDefault="00772FB4" w:rsidP="00772FB4">
      <w:pPr>
        <w:rPr>
          <w:i/>
          <w:color w:val="7030A0"/>
        </w:rPr>
      </w:pPr>
      <w:r>
        <w:rPr>
          <w:i/>
          <w:color w:val="7030A0"/>
        </w:rPr>
        <w:t>Revised List of Sources</w:t>
      </w:r>
    </w:p>
    <w:tbl>
      <w:tblPr>
        <w:tblStyle w:val="LightShading-Accent4"/>
        <w:tblW w:w="5000" w:type="pct"/>
        <w:tblLayout w:type="fixed"/>
        <w:tblLook w:val="04A0" w:firstRow="1" w:lastRow="0" w:firstColumn="1" w:lastColumn="0" w:noHBand="0" w:noVBand="1"/>
      </w:tblPr>
      <w:tblGrid>
        <w:gridCol w:w="817"/>
        <w:gridCol w:w="3558"/>
      </w:tblGrid>
      <w:tr w:rsidR="00772FB4" w:rsidRPr="005F411B" w:rsidTr="007B3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772FB4" w:rsidP="00772FB4">
            <w:pPr>
              <w:spacing w:after="120"/>
              <w:rPr>
                <w:color w:val="7030A0"/>
                <w:sz w:val="20"/>
                <w:szCs w:val="20"/>
              </w:rPr>
            </w:pPr>
            <w:r w:rsidRPr="005F411B">
              <w:rPr>
                <w:color w:val="7030A0"/>
                <w:sz w:val="20"/>
                <w:szCs w:val="20"/>
              </w:rPr>
              <w:t>Page</w:t>
            </w:r>
          </w:p>
        </w:tc>
        <w:tc>
          <w:tcPr>
            <w:tcW w:w="4066" w:type="pct"/>
          </w:tcPr>
          <w:p w:rsidR="00772FB4" w:rsidRPr="005F411B" w:rsidRDefault="00772FB4" w:rsidP="00772FB4">
            <w:pPr>
              <w:spacing w:after="120"/>
              <w:cnfStyle w:val="100000000000" w:firstRow="1" w:lastRow="0" w:firstColumn="0" w:lastColumn="0" w:oddVBand="0" w:evenVBand="0" w:oddHBand="0" w:evenHBand="0" w:firstRowFirstColumn="0" w:firstRowLastColumn="0" w:lastRowFirstColumn="0" w:lastRowLastColumn="0"/>
              <w:rPr>
                <w:color w:val="7030A0"/>
                <w:sz w:val="20"/>
                <w:szCs w:val="20"/>
              </w:rPr>
            </w:pPr>
            <w:r w:rsidRPr="005F411B">
              <w:rPr>
                <w:color w:val="7030A0"/>
                <w:sz w:val="20"/>
                <w:szCs w:val="20"/>
              </w:rPr>
              <w:t>Source</w:t>
            </w:r>
          </w:p>
        </w:tc>
      </w:tr>
      <w:tr w:rsidR="00772FB4" w:rsidRPr="005F411B" w:rsidTr="007B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772FB4" w:rsidP="00772FB4">
            <w:pPr>
              <w:rPr>
                <w:sz w:val="20"/>
                <w:szCs w:val="20"/>
              </w:rPr>
            </w:pPr>
            <w:r w:rsidRPr="005F411B">
              <w:rPr>
                <w:color w:val="7030A0"/>
                <w:sz w:val="20"/>
                <w:szCs w:val="20"/>
              </w:rPr>
              <w:t>12,13,14,15,16,17,18,19</w:t>
            </w:r>
          </w:p>
        </w:tc>
        <w:tc>
          <w:tcPr>
            <w:tcW w:w="4066" w:type="pct"/>
          </w:tcPr>
          <w:p w:rsidR="00772FB4" w:rsidRPr="005F411B" w:rsidRDefault="004E65BF" w:rsidP="00772FB4">
            <w:pPr>
              <w:cnfStyle w:val="000000100000" w:firstRow="0" w:lastRow="0" w:firstColumn="0" w:lastColumn="0" w:oddVBand="0" w:evenVBand="0" w:oddHBand="1" w:evenHBand="0" w:firstRowFirstColumn="0" w:firstRowLastColumn="0" w:lastRowFirstColumn="0" w:lastRowLastColumn="0"/>
              <w:rPr>
                <w:sz w:val="20"/>
                <w:szCs w:val="20"/>
              </w:rPr>
            </w:pPr>
            <w:hyperlink r:id="rId9" w:history="1">
              <w:r w:rsidR="00772FB4" w:rsidRPr="00772FB4">
                <w:rPr>
                  <w:rStyle w:val="Hyperlink"/>
                  <w:sz w:val="20"/>
                  <w:szCs w:val="20"/>
                </w:rPr>
                <w:t>Scrap Metal Dealers Act 2013</w:t>
              </w:r>
            </w:hyperlink>
          </w:p>
        </w:tc>
      </w:tr>
      <w:tr w:rsidR="00772FB4" w:rsidRPr="005F411B" w:rsidTr="007B3F87">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772FB4" w:rsidP="00772FB4">
            <w:pPr>
              <w:rPr>
                <w:color w:val="7030A0"/>
                <w:sz w:val="20"/>
                <w:szCs w:val="20"/>
              </w:rPr>
            </w:pPr>
            <w:r w:rsidRPr="005F411B">
              <w:rPr>
                <w:color w:val="7030A0"/>
                <w:sz w:val="20"/>
                <w:szCs w:val="20"/>
              </w:rPr>
              <w:t>12,13,</w:t>
            </w:r>
            <w:r w:rsidRPr="005F411B">
              <w:rPr>
                <w:sz w:val="20"/>
                <w:szCs w:val="20"/>
              </w:rPr>
              <w:t xml:space="preserve"> </w:t>
            </w:r>
            <w:r w:rsidRPr="005F411B">
              <w:rPr>
                <w:color w:val="7030A0"/>
                <w:sz w:val="20"/>
                <w:szCs w:val="20"/>
              </w:rPr>
              <w:t>14,15,16,17,18</w:t>
            </w:r>
          </w:p>
        </w:tc>
        <w:tc>
          <w:tcPr>
            <w:tcW w:w="4066" w:type="pct"/>
          </w:tcPr>
          <w:p w:rsidR="00772FB4" w:rsidRPr="005F411B" w:rsidRDefault="004E65BF" w:rsidP="00772FB4">
            <w:pPr>
              <w:cnfStyle w:val="000000000000" w:firstRow="0" w:lastRow="0" w:firstColumn="0" w:lastColumn="0" w:oddVBand="0" w:evenVBand="0" w:oddHBand="0" w:evenHBand="0" w:firstRowFirstColumn="0" w:firstRowLastColumn="0" w:lastRowFirstColumn="0" w:lastRowLastColumn="0"/>
              <w:rPr>
                <w:color w:val="7030A0"/>
                <w:sz w:val="20"/>
                <w:szCs w:val="20"/>
              </w:rPr>
            </w:pPr>
            <w:hyperlink r:id="rId10" w:history="1">
              <w:r w:rsidR="00772FB4" w:rsidRPr="00772FB4">
                <w:rPr>
                  <w:rStyle w:val="Hyperlink"/>
                  <w:sz w:val="20"/>
                  <w:szCs w:val="20"/>
                </w:rPr>
                <w:t>Scrap Metal Dealers Act 2013 – Explanatory Notes</w:t>
              </w:r>
            </w:hyperlink>
          </w:p>
          <w:p w:rsidR="00772FB4" w:rsidRPr="005F411B" w:rsidRDefault="00772FB4" w:rsidP="00772FB4">
            <w:pPr>
              <w:cnfStyle w:val="000000000000" w:firstRow="0" w:lastRow="0" w:firstColumn="0" w:lastColumn="0" w:oddVBand="0" w:evenVBand="0" w:oddHBand="0" w:evenHBand="0" w:firstRowFirstColumn="0" w:firstRowLastColumn="0" w:lastRowFirstColumn="0" w:lastRowLastColumn="0"/>
              <w:rPr>
                <w:color w:val="943634" w:themeColor="accent2" w:themeShade="BF"/>
                <w:sz w:val="20"/>
                <w:szCs w:val="20"/>
              </w:rPr>
            </w:pPr>
          </w:p>
        </w:tc>
      </w:tr>
      <w:tr w:rsidR="00772FB4" w:rsidRPr="005F411B" w:rsidTr="007B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1D62C0" w:rsidP="00772FB4">
            <w:pPr>
              <w:rPr>
                <w:color w:val="7030A0"/>
                <w:sz w:val="20"/>
                <w:szCs w:val="20"/>
              </w:rPr>
            </w:pPr>
            <w:r>
              <w:rPr>
                <w:color w:val="7030A0"/>
                <w:sz w:val="20"/>
                <w:szCs w:val="20"/>
              </w:rPr>
              <w:t>22,23,24,25</w:t>
            </w:r>
          </w:p>
        </w:tc>
        <w:tc>
          <w:tcPr>
            <w:tcW w:w="4066" w:type="pct"/>
          </w:tcPr>
          <w:p w:rsidR="00772FB4" w:rsidRPr="005F411B" w:rsidRDefault="004E65BF" w:rsidP="00772FB4">
            <w:pPr>
              <w:ind w:left="33"/>
              <w:cnfStyle w:val="000000100000" w:firstRow="0" w:lastRow="0" w:firstColumn="0" w:lastColumn="0" w:oddVBand="0" w:evenVBand="0" w:oddHBand="1" w:evenHBand="0" w:firstRowFirstColumn="0" w:firstRowLastColumn="0" w:lastRowFirstColumn="0" w:lastRowLastColumn="0"/>
              <w:rPr>
                <w:color w:val="0000FF"/>
                <w:sz w:val="20"/>
                <w:szCs w:val="20"/>
                <w:u w:val="single"/>
              </w:rPr>
            </w:pPr>
            <w:hyperlink r:id="rId11" w:anchor="metal-recovery/scrap-metal" w:history="1">
              <w:r w:rsidR="00772FB4" w:rsidRPr="00772FB4">
                <w:rPr>
                  <w:rStyle w:val="Hyperlink"/>
                  <w:sz w:val="20"/>
                  <w:szCs w:val="20"/>
                </w:rPr>
                <w:t>Environment Agency – SR2008No21: Metal Recycling Site 75kte</w:t>
              </w:r>
            </w:hyperlink>
          </w:p>
        </w:tc>
      </w:tr>
      <w:tr w:rsidR="00772FB4" w:rsidRPr="005F411B" w:rsidTr="007B3F87">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1D62C0" w:rsidP="00772FB4">
            <w:pPr>
              <w:rPr>
                <w:color w:val="7030A0"/>
                <w:sz w:val="20"/>
                <w:szCs w:val="20"/>
              </w:rPr>
            </w:pPr>
            <w:r>
              <w:rPr>
                <w:color w:val="7030A0"/>
                <w:sz w:val="20"/>
                <w:szCs w:val="20"/>
              </w:rPr>
              <w:t>22,23,24,25</w:t>
            </w:r>
          </w:p>
        </w:tc>
        <w:tc>
          <w:tcPr>
            <w:tcW w:w="4066" w:type="pct"/>
          </w:tcPr>
          <w:p w:rsidR="00772FB4" w:rsidRPr="005F411B" w:rsidRDefault="004E65BF" w:rsidP="00772FB4">
            <w:pPr>
              <w:ind w:left="33"/>
              <w:cnfStyle w:val="000000000000" w:firstRow="0" w:lastRow="0" w:firstColumn="0" w:lastColumn="0" w:oddVBand="0" w:evenVBand="0" w:oddHBand="0" w:evenHBand="0" w:firstRowFirstColumn="0" w:firstRowLastColumn="0" w:lastRowFirstColumn="0" w:lastRowLastColumn="0"/>
              <w:rPr>
                <w:color w:val="0000FF"/>
                <w:sz w:val="20"/>
                <w:szCs w:val="20"/>
                <w:u w:val="single"/>
              </w:rPr>
            </w:pPr>
            <w:hyperlink r:id="rId12" w:anchor="metal-recovery/scrap-metal" w:history="1">
              <w:r w:rsidR="00772FB4" w:rsidRPr="00772FB4">
                <w:rPr>
                  <w:rStyle w:val="Hyperlink"/>
                  <w:sz w:val="20"/>
                  <w:szCs w:val="20"/>
                </w:rPr>
                <w:t>Environment Agency – SR2011No2: Metal Recycling Site</w:t>
              </w:r>
            </w:hyperlink>
            <w:r w:rsidR="00772FB4" w:rsidRPr="005F411B">
              <w:rPr>
                <w:color w:val="7030A0"/>
                <w:sz w:val="20"/>
                <w:szCs w:val="20"/>
              </w:rPr>
              <w:t xml:space="preserve"> </w:t>
            </w:r>
          </w:p>
        </w:tc>
      </w:tr>
      <w:tr w:rsidR="00772FB4" w:rsidRPr="005F411B" w:rsidTr="007B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1D62C0" w:rsidP="00772FB4">
            <w:pPr>
              <w:rPr>
                <w:color w:val="7030A0"/>
                <w:sz w:val="20"/>
                <w:szCs w:val="20"/>
              </w:rPr>
            </w:pPr>
            <w:r>
              <w:rPr>
                <w:color w:val="7030A0"/>
                <w:sz w:val="20"/>
                <w:szCs w:val="20"/>
              </w:rPr>
              <w:t>22,23,24,25</w:t>
            </w:r>
          </w:p>
        </w:tc>
        <w:tc>
          <w:tcPr>
            <w:tcW w:w="4066" w:type="pct"/>
          </w:tcPr>
          <w:p w:rsidR="00772FB4" w:rsidRPr="005F411B" w:rsidRDefault="004E65BF" w:rsidP="00772FB4">
            <w:pPr>
              <w:cnfStyle w:val="000000100000" w:firstRow="0" w:lastRow="0" w:firstColumn="0" w:lastColumn="0" w:oddVBand="0" w:evenVBand="0" w:oddHBand="1" w:evenHBand="0" w:firstRowFirstColumn="0" w:firstRowLastColumn="0" w:lastRowFirstColumn="0" w:lastRowLastColumn="0"/>
              <w:rPr>
                <w:sz w:val="20"/>
                <w:szCs w:val="20"/>
              </w:rPr>
            </w:pPr>
            <w:hyperlink r:id="rId13" w:anchor="metal-recovery/scrap-metal" w:history="1">
              <w:r w:rsidR="00772FB4" w:rsidRPr="00772FB4">
                <w:rPr>
                  <w:rStyle w:val="Hyperlink"/>
                  <w:sz w:val="20"/>
                  <w:szCs w:val="20"/>
                </w:rPr>
                <w:t>Environment Agency – SR205No14: Metal Recycling Site 75kte</w:t>
              </w:r>
            </w:hyperlink>
            <w:r w:rsidR="00772FB4" w:rsidRPr="005F411B">
              <w:rPr>
                <w:color w:val="7030A0"/>
                <w:sz w:val="20"/>
                <w:szCs w:val="20"/>
              </w:rPr>
              <w:t xml:space="preserve"> </w:t>
            </w:r>
          </w:p>
        </w:tc>
      </w:tr>
      <w:tr w:rsidR="00772FB4" w:rsidRPr="005F411B" w:rsidTr="007B3F87">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1D62C0" w:rsidP="00772FB4">
            <w:pPr>
              <w:rPr>
                <w:color w:val="7030A0"/>
                <w:sz w:val="20"/>
                <w:szCs w:val="20"/>
              </w:rPr>
            </w:pPr>
            <w:r>
              <w:rPr>
                <w:color w:val="7030A0"/>
                <w:sz w:val="20"/>
                <w:szCs w:val="20"/>
              </w:rPr>
              <w:t>22,23,24,25</w:t>
            </w:r>
          </w:p>
        </w:tc>
        <w:tc>
          <w:tcPr>
            <w:tcW w:w="4066" w:type="pct"/>
          </w:tcPr>
          <w:p w:rsidR="00772FB4" w:rsidRPr="005F411B" w:rsidRDefault="004E65BF" w:rsidP="00772FB4">
            <w:pPr>
              <w:ind w:left="33"/>
              <w:cnfStyle w:val="000000000000" w:firstRow="0" w:lastRow="0" w:firstColumn="0" w:lastColumn="0" w:oddVBand="0" w:evenVBand="0" w:oddHBand="0" w:evenHBand="0" w:firstRowFirstColumn="0" w:firstRowLastColumn="0" w:lastRowFirstColumn="0" w:lastRowLastColumn="0"/>
              <w:rPr>
                <w:color w:val="0000FF"/>
                <w:sz w:val="20"/>
                <w:szCs w:val="20"/>
                <w:u w:val="single"/>
              </w:rPr>
            </w:pPr>
            <w:hyperlink r:id="rId14" w:anchor="metal-recovery/scrap-metal" w:history="1">
              <w:r w:rsidR="00772FB4" w:rsidRPr="00772FB4">
                <w:rPr>
                  <w:rStyle w:val="Hyperlink"/>
                  <w:sz w:val="20"/>
                  <w:szCs w:val="20"/>
                </w:rPr>
                <w:t>Environment Agency – SR2015No16: Metal Recycling Sites (March 2016)</w:t>
              </w:r>
            </w:hyperlink>
          </w:p>
        </w:tc>
      </w:tr>
      <w:tr w:rsidR="00772FB4" w:rsidRPr="005F411B" w:rsidTr="007B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1D62C0" w:rsidP="00772FB4">
            <w:pPr>
              <w:rPr>
                <w:color w:val="7030A0"/>
                <w:sz w:val="20"/>
                <w:szCs w:val="20"/>
              </w:rPr>
            </w:pPr>
            <w:r>
              <w:rPr>
                <w:color w:val="7030A0"/>
                <w:sz w:val="20"/>
                <w:szCs w:val="20"/>
              </w:rPr>
              <w:t>22,23,24,25</w:t>
            </w:r>
          </w:p>
        </w:tc>
        <w:tc>
          <w:tcPr>
            <w:tcW w:w="4066" w:type="pct"/>
          </w:tcPr>
          <w:p w:rsidR="00772FB4" w:rsidRPr="005F411B" w:rsidRDefault="004E65BF" w:rsidP="007B3F87">
            <w:pPr>
              <w:ind w:left="33"/>
              <w:cnfStyle w:val="000000100000" w:firstRow="0" w:lastRow="0" w:firstColumn="0" w:lastColumn="0" w:oddVBand="0" w:evenVBand="0" w:oddHBand="1" w:evenHBand="0" w:firstRowFirstColumn="0" w:firstRowLastColumn="0" w:lastRowFirstColumn="0" w:lastRowLastColumn="0"/>
              <w:rPr>
                <w:color w:val="0000FF"/>
                <w:sz w:val="20"/>
                <w:szCs w:val="20"/>
                <w:u w:val="single"/>
              </w:rPr>
            </w:pPr>
            <w:hyperlink r:id="rId15" w:anchor="documentDownloads" w:history="1">
              <w:r w:rsidR="00772FB4" w:rsidRPr="007B3F87">
                <w:rPr>
                  <w:rStyle w:val="Hyperlink"/>
                  <w:sz w:val="20"/>
                  <w:szCs w:val="20"/>
                </w:rPr>
                <w:t>Natural Resources Wal</w:t>
              </w:r>
              <w:r w:rsidR="007B3F87" w:rsidRPr="007B3F87">
                <w:rPr>
                  <w:rStyle w:val="Hyperlink"/>
                  <w:sz w:val="20"/>
                  <w:szCs w:val="20"/>
                </w:rPr>
                <w:t>es – SR2008No21 and SR2011No02</w:t>
              </w:r>
            </w:hyperlink>
          </w:p>
        </w:tc>
      </w:tr>
      <w:tr w:rsidR="00772FB4" w:rsidRPr="005F411B" w:rsidTr="007B3F87">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9C2759" w:rsidP="00772FB4">
            <w:pPr>
              <w:rPr>
                <w:color w:val="7030A0"/>
                <w:sz w:val="20"/>
                <w:szCs w:val="20"/>
              </w:rPr>
            </w:pPr>
            <w:r>
              <w:rPr>
                <w:color w:val="7030A0"/>
                <w:sz w:val="20"/>
                <w:szCs w:val="20"/>
              </w:rPr>
              <w:t>23</w:t>
            </w:r>
          </w:p>
        </w:tc>
        <w:tc>
          <w:tcPr>
            <w:tcW w:w="4066" w:type="pct"/>
          </w:tcPr>
          <w:p w:rsidR="00772FB4" w:rsidRPr="005F411B" w:rsidRDefault="004E65BF" w:rsidP="007B3F87">
            <w:pPr>
              <w:ind w:left="33"/>
              <w:cnfStyle w:val="000000000000" w:firstRow="0" w:lastRow="0" w:firstColumn="0" w:lastColumn="0" w:oddVBand="0" w:evenVBand="0" w:oddHBand="0" w:evenHBand="0" w:firstRowFirstColumn="0" w:firstRowLastColumn="0" w:lastRowFirstColumn="0" w:lastRowLastColumn="0"/>
              <w:rPr>
                <w:color w:val="7030A0"/>
                <w:sz w:val="20"/>
                <w:szCs w:val="20"/>
              </w:rPr>
            </w:pPr>
            <w:hyperlink r:id="rId16" w:history="1">
              <w:r w:rsidR="00772FB4" w:rsidRPr="007B3F87">
                <w:rPr>
                  <w:rStyle w:val="Hyperlink"/>
                  <w:sz w:val="20"/>
                  <w:szCs w:val="20"/>
                </w:rPr>
                <w:t>GOV.UK (2019) Guidance on Hazardous waste acceptance</w:t>
              </w:r>
            </w:hyperlink>
            <w:r w:rsidR="00772FB4" w:rsidRPr="005F411B">
              <w:rPr>
                <w:color w:val="7030A0"/>
                <w:sz w:val="20"/>
                <w:szCs w:val="20"/>
              </w:rPr>
              <w:t xml:space="preserve"> </w:t>
            </w:r>
          </w:p>
        </w:tc>
      </w:tr>
      <w:tr w:rsidR="00772FB4" w:rsidRPr="005F411B" w:rsidTr="007B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772FB4" w:rsidP="00772FB4">
            <w:pPr>
              <w:rPr>
                <w:sz w:val="20"/>
                <w:szCs w:val="20"/>
              </w:rPr>
            </w:pPr>
            <w:r w:rsidRPr="005F411B">
              <w:rPr>
                <w:color w:val="7030A0"/>
                <w:sz w:val="20"/>
                <w:szCs w:val="20"/>
              </w:rPr>
              <w:t>24</w:t>
            </w:r>
          </w:p>
        </w:tc>
        <w:tc>
          <w:tcPr>
            <w:tcW w:w="4066" w:type="pct"/>
          </w:tcPr>
          <w:p w:rsidR="00772FB4" w:rsidRPr="005F411B" w:rsidRDefault="004E65BF" w:rsidP="007B3F87">
            <w:pPr>
              <w:cnfStyle w:val="000000100000" w:firstRow="0" w:lastRow="0" w:firstColumn="0" w:lastColumn="0" w:oddVBand="0" w:evenVBand="0" w:oddHBand="1" w:evenHBand="0" w:firstRowFirstColumn="0" w:firstRowLastColumn="0" w:lastRowFirstColumn="0" w:lastRowLastColumn="0"/>
              <w:rPr>
                <w:sz w:val="20"/>
                <w:szCs w:val="20"/>
              </w:rPr>
            </w:pPr>
            <w:hyperlink r:id="rId17" w:history="1">
              <w:r w:rsidR="00772FB4" w:rsidRPr="007B3F87">
                <w:rPr>
                  <w:rStyle w:val="Hyperlink"/>
                  <w:sz w:val="20"/>
                  <w:szCs w:val="20"/>
                </w:rPr>
                <w:t>The Waste Batteries and Accumulators Regulations 2009</w:t>
              </w:r>
            </w:hyperlink>
            <w:r w:rsidR="00772FB4" w:rsidRPr="005F411B">
              <w:rPr>
                <w:color w:val="7030A0"/>
                <w:sz w:val="20"/>
                <w:szCs w:val="20"/>
              </w:rPr>
              <w:t xml:space="preserve"> </w:t>
            </w:r>
          </w:p>
        </w:tc>
      </w:tr>
      <w:tr w:rsidR="00772FB4" w:rsidRPr="005F411B" w:rsidTr="007B3F87">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772FB4" w:rsidP="00772FB4">
            <w:pPr>
              <w:rPr>
                <w:color w:val="7030A0"/>
                <w:sz w:val="20"/>
                <w:szCs w:val="20"/>
              </w:rPr>
            </w:pPr>
            <w:r w:rsidRPr="005F411B">
              <w:rPr>
                <w:color w:val="7030A0"/>
                <w:sz w:val="20"/>
                <w:szCs w:val="20"/>
              </w:rPr>
              <w:t>24</w:t>
            </w:r>
          </w:p>
        </w:tc>
        <w:tc>
          <w:tcPr>
            <w:tcW w:w="4066" w:type="pct"/>
          </w:tcPr>
          <w:p w:rsidR="00772FB4" w:rsidRPr="005F411B" w:rsidRDefault="004E65BF" w:rsidP="007B3F87">
            <w:pPr>
              <w:cnfStyle w:val="000000000000" w:firstRow="0" w:lastRow="0" w:firstColumn="0" w:lastColumn="0" w:oddVBand="0" w:evenVBand="0" w:oddHBand="0" w:evenHBand="0" w:firstRowFirstColumn="0" w:firstRowLastColumn="0" w:lastRowFirstColumn="0" w:lastRowLastColumn="0"/>
              <w:rPr>
                <w:color w:val="943634" w:themeColor="accent2" w:themeShade="BF"/>
                <w:sz w:val="20"/>
                <w:szCs w:val="20"/>
              </w:rPr>
            </w:pPr>
            <w:hyperlink r:id="rId18" w:history="1">
              <w:r w:rsidR="00772FB4" w:rsidRPr="007B3F87">
                <w:rPr>
                  <w:rStyle w:val="Hyperlink"/>
                  <w:sz w:val="20"/>
                  <w:szCs w:val="20"/>
                </w:rPr>
                <w:t>The Waste Batteries and Accumulato</w:t>
              </w:r>
              <w:r w:rsidR="007B3F87" w:rsidRPr="007B3F87">
                <w:rPr>
                  <w:rStyle w:val="Hyperlink"/>
                  <w:sz w:val="20"/>
                  <w:szCs w:val="20"/>
                </w:rPr>
                <w:t>rs (Amendment) Regulations 2015</w:t>
              </w:r>
            </w:hyperlink>
          </w:p>
        </w:tc>
      </w:tr>
      <w:tr w:rsidR="00772FB4" w:rsidRPr="005F411B" w:rsidTr="007B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9C2759" w:rsidP="00772FB4">
            <w:pPr>
              <w:rPr>
                <w:sz w:val="20"/>
                <w:szCs w:val="20"/>
              </w:rPr>
            </w:pPr>
            <w:r>
              <w:rPr>
                <w:color w:val="7030A0"/>
                <w:sz w:val="20"/>
                <w:szCs w:val="20"/>
              </w:rPr>
              <w:t>26</w:t>
            </w:r>
          </w:p>
        </w:tc>
        <w:tc>
          <w:tcPr>
            <w:tcW w:w="4066" w:type="pct"/>
          </w:tcPr>
          <w:p w:rsidR="00772FB4" w:rsidRPr="005F411B" w:rsidRDefault="004E65BF" w:rsidP="007B3F87">
            <w:pPr>
              <w:cnfStyle w:val="000000100000" w:firstRow="0" w:lastRow="0" w:firstColumn="0" w:lastColumn="0" w:oddVBand="0" w:evenVBand="0" w:oddHBand="1" w:evenHBand="0" w:firstRowFirstColumn="0" w:firstRowLastColumn="0" w:lastRowFirstColumn="0" w:lastRowLastColumn="0"/>
              <w:rPr>
                <w:color w:val="0000FF"/>
                <w:sz w:val="20"/>
                <w:szCs w:val="20"/>
                <w:u w:val="single"/>
              </w:rPr>
            </w:pPr>
            <w:hyperlink r:id="rId19" w:anchor="design-standards-for-bunds" w:history="1">
              <w:r w:rsidR="00772FB4" w:rsidRPr="007B3F87">
                <w:rPr>
                  <w:rStyle w:val="Hyperlink"/>
                  <w:sz w:val="20"/>
                  <w:szCs w:val="20"/>
                </w:rPr>
                <w:t>GOV.UK (2018) Oil storage regu</w:t>
              </w:r>
              <w:r w:rsidR="007B3F87" w:rsidRPr="007B3F87">
                <w:rPr>
                  <w:rStyle w:val="Hyperlink"/>
                  <w:sz w:val="20"/>
                  <w:szCs w:val="20"/>
                </w:rPr>
                <w:t>lations for business</w:t>
              </w:r>
            </w:hyperlink>
          </w:p>
        </w:tc>
      </w:tr>
      <w:tr w:rsidR="00772FB4" w:rsidRPr="005F411B" w:rsidTr="007B3F87">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9C2759" w:rsidP="00772FB4">
            <w:pPr>
              <w:rPr>
                <w:color w:val="7030A0"/>
                <w:sz w:val="20"/>
                <w:szCs w:val="20"/>
              </w:rPr>
            </w:pPr>
            <w:r>
              <w:rPr>
                <w:color w:val="7030A0"/>
                <w:sz w:val="20"/>
                <w:szCs w:val="20"/>
              </w:rPr>
              <w:t>26</w:t>
            </w:r>
          </w:p>
        </w:tc>
        <w:tc>
          <w:tcPr>
            <w:tcW w:w="4066" w:type="pct"/>
          </w:tcPr>
          <w:p w:rsidR="00772FB4" w:rsidRPr="005F411B" w:rsidRDefault="004E65BF" w:rsidP="007B3F87">
            <w:pPr>
              <w:cnfStyle w:val="000000000000" w:firstRow="0" w:lastRow="0" w:firstColumn="0" w:lastColumn="0" w:oddVBand="0" w:evenVBand="0" w:oddHBand="0" w:evenHBand="0" w:firstRowFirstColumn="0" w:firstRowLastColumn="0" w:lastRowFirstColumn="0" w:lastRowLastColumn="0"/>
              <w:rPr>
                <w:color w:val="943634" w:themeColor="accent2" w:themeShade="BF"/>
                <w:sz w:val="20"/>
                <w:szCs w:val="20"/>
              </w:rPr>
            </w:pPr>
            <w:hyperlink r:id="rId20" w:history="1">
              <w:r w:rsidR="00772FB4" w:rsidRPr="007B3F87">
                <w:rPr>
                  <w:rStyle w:val="Hyperlink"/>
                  <w:sz w:val="20"/>
                  <w:szCs w:val="20"/>
                </w:rPr>
                <w:t>Health and Safety Executive (2015) Storage</w:t>
              </w:r>
              <w:r w:rsidR="007B3F87" w:rsidRPr="007B3F87">
                <w:rPr>
                  <w:rStyle w:val="Hyperlink"/>
                  <w:sz w:val="20"/>
                  <w:szCs w:val="20"/>
                </w:rPr>
                <w:t xml:space="preserve"> of flammable liquids in Tanks</w:t>
              </w:r>
            </w:hyperlink>
          </w:p>
        </w:tc>
      </w:tr>
      <w:tr w:rsidR="00772FB4" w:rsidRPr="005F411B" w:rsidTr="007B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772FB4" w:rsidP="00772FB4">
            <w:pPr>
              <w:rPr>
                <w:sz w:val="20"/>
                <w:szCs w:val="20"/>
              </w:rPr>
            </w:pPr>
            <w:r w:rsidRPr="005F411B">
              <w:rPr>
                <w:color w:val="7030A0"/>
                <w:sz w:val="20"/>
                <w:szCs w:val="20"/>
              </w:rPr>
              <w:t>27</w:t>
            </w:r>
          </w:p>
        </w:tc>
        <w:tc>
          <w:tcPr>
            <w:tcW w:w="4066" w:type="pct"/>
          </w:tcPr>
          <w:p w:rsidR="00772FB4" w:rsidRPr="005F411B" w:rsidRDefault="004E65BF" w:rsidP="007B3F87">
            <w:pPr>
              <w:cnfStyle w:val="000000100000" w:firstRow="0" w:lastRow="0" w:firstColumn="0" w:lastColumn="0" w:oddVBand="0" w:evenVBand="0" w:oddHBand="1" w:evenHBand="0" w:firstRowFirstColumn="0" w:firstRowLastColumn="0" w:lastRowFirstColumn="0" w:lastRowLastColumn="0"/>
              <w:rPr>
                <w:sz w:val="20"/>
                <w:szCs w:val="20"/>
              </w:rPr>
            </w:pPr>
            <w:hyperlink r:id="rId21" w:history="1">
              <w:r w:rsidR="00772FB4" w:rsidRPr="007B3F87">
                <w:rPr>
                  <w:rStyle w:val="Hyperlink"/>
                  <w:sz w:val="20"/>
                  <w:szCs w:val="20"/>
                </w:rPr>
                <w:t>WISH (2013) Orphaned compressed gas cylinders in waste and recycling industries</w:t>
              </w:r>
            </w:hyperlink>
            <w:r w:rsidR="00772FB4" w:rsidRPr="005F411B">
              <w:rPr>
                <w:color w:val="7030A0"/>
                <w:sz w:val="20"/>
                <w:szCs w:val="20"/>
              </w:rPr>
              <w:t xml:space="preserve"> </w:t>
            </w:r>
          </w:p>
        </w:tc>
      </w:tr>
      <w:tr w:rsidR="00772FB4" w:rsidRPr="005F411B" w:rsidTr="007B3F87">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772FB4" w:rsidP="00772FB4">
            <w:pPr>
              <w:rPr>
                <w:sz w:val="20"/>
                <w:szCs w:val="20"/>
              </w:rPr>
            </w:pPr>
            <w:r w:rsidRPr="005F411B">
              <w:rPr>
                <w:color w:val="7030A0"/>
                <w:sz w:val="20"/>
                <w:szCs w:val="20"/>
              </w:rPr>
              <w:t>30</w:t>
            </w:r>
          </w:p>
        </w:tc>
        <w:tc>
          <w:tcPr>
            <w:tcW w:w="4066" w:type="pct"/>
          </w:tcPr>
          <w:p w:rsidR="00772FB4" w:rsidRPr="005F411B" w:rsidRDefault="004E65BF" w:rsidP="007B3F87">
            <w:pPr>
              <w:cnfStyle w:val="000000000000" w:firstRow="0" w:lastRow="0" w:firstColumn="0" w:lastColumn="0" w:oddVBand="0" w:evenVBand="0" w:oddHBand="0" w:evenHBand="0" w:firstRowFirstColumn="0" w:firstRowLastColumn="0" w:lastRowFirstColumn="0" w:lastRowLastColumn="0"/>
              <w:rPr>
                <w:sz w:val="20"/>
                <w:szCs w:val="20"/>
              </w:rPr>
            </w:pPr>
            <w:hyperlink r:id="rId22" w:history="1">
              <w:r w:rsidR="00772FB4" w:rsidRPr="007B3F87">
                <w:rPr>
                  <w:rStyle w:val="Hyperlink"/>
                  <w:sz w:val="20"/>
                  <w:szCs w:val="20"/>
                </w:rPr>
                <w:t>Health and Safety Executive (2014</w:t>
              </w:r>
              <w:r w:rsidR="007B3F87" w:rsidRPr="007B3F87">
                <w:rPr>
                  <w:rStyle w:val="Hyperlink"/>
                  <w:sz w:val="20"/>
                  <w:szCs w:val="20"/>
                </w:rPr>
                <w:t>) Section 5: Vehicle Movements</w:t>
              </w:r>
            </w:hyperlink>
          </w:p>
        </w:tc>
      </w:tr>
      <w:tr w:rsidR="00772FB4" w:rsidRPr="005F411B" w:rsidTr="007B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772FB4" w:rsidP="00772FB4">
            <w:pPr>
              <w:rPr>
                <w:color w:val="7030A0"/>
                <w:sz w:val="20"/>
                <w:szCs w:val="20"/>
              </w:rPr>
            </w:pPr>
            <w:r w:rsidRPr="005F411B">
              <w:rPr>
                <w:color w:val="7030A0"/>
                <w:sz w:val="20"/>
                <w:szCs w:val="20"/>
              </w:rPr>
              <w:t>31</w:t>
            </w:r>
          </w:p>
        </w:tc>
        <w:tc>
          <w:tcPr>
            <w:tcW w:w="4066" w:type="pct"/>
          </w:tcPr>
          <w:p w:rsidR="00772FB4" w:rsidRPr="005F411B" w:rsidRDefault="004E65BF" w:rsidP="007B3F87">
            <w:pPr>
              <w:cnfStyle w:val="000000100000" w:firstRow="0" w:lastRow="0" w:firstColumn="0" w:lastColumn="0" w:oddVBand="0" w:evenVBand="0" w:oddHBand="1" w:evenHBand="0" w:firstRowFirstColumn="0" w:firstRowLastColumn="0" w:lastRowFirstColumn="0" w:lastRowLastColumn="0"/>
              <w:rPr>
                <w:color w:val="943634" w:themeColor="accent2" w:themeShade="BF"/>
                <w:sz w:val="20"/>
                <w:szCs w:val="20"/>
              </w:rPr>
            </w:pPr>
            <w:hyperlink r:id="rId23" w:history="1">
              <w:r w:rsidR="00772FB4" w:rsidRPr="007B3F87">
                <w:rPr>
                  <w:rStyle w:val="Hyperlink"/>
                  <w:sz w:val="20"/>
                  <w:szCs w:val="20"/>
                </w:rPr>
                <w:t>HSE - Controlling vibration</w:t>
              </w:r>
            </w:hyperlink>
            <w:r w:rsidR="00772FB4" w:rsidRPr="005F411B">
              <w:rPr>
                <w:sz w:val="20"/>
                <w:szCs w:val="20"/>
              </w:rPr>
              <w:t xml:space="preserve"> </w:t>
            </w:r>
          </w:p>
        </w:tc>
      </w:tr>
      <w:tr w:rsidR="00772FB4" w:rsidRPr="005F411B" w:rsidTr="007B3F87">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772FB4" w:rsidP="00772FB4">
            <w:pPr>
              <w:rPr>
                <w:color w:val="7030A0"/>
                <w:sz w:val="20"/>
                <w:szCs w:val="20"/>
              </w:rPr>
            </w:pPr>
            <w:r w:rsidRPr="005F411B">
              <w:rPr>
                <w:color w:val="7030A0"/>
                <w:sz w:val="20"/>
                <w:szCs w:val="20"/>
              </w:rPr>
              <w:t>31</w:t>
            </w:r>
          </w:p>
        </w:tc>
        <w:tc>
          <w:tcPr>
            <w:tcW w:w="4066" w:type="pct"/>
          </w:tcPr>
          <w:p w:rsidR="00772FB4" w:rsidRPr="005F411B" w:rsidRDefault="004E65BF" w:rsidP="007B3F87">
            <w:pPr>
              <w:cnfStyle w:val="000000000000" w:firstRow="0" w:lastRow="0" w:firstColumn="0" w:lastColumn="0" w:oddVBand="0" w:evenVBand="0" w:oddHBand="0" w:evenHBand="0" w:firstRowFirstColumn="0" w:firstRowLastColumn="0" w:lastRowFirstColumn="0" w:lastRowLastColumn="0"/>
              <w:rPr>
                <w:color w:val="943634" w:themeColor="accent2" w:themeShade="BF"/>
                <w:sz w:val="20"/>
                <w:szCs w:val="20"/>
              </w:rPr>
            </w:pPr>
            <w:hyperlink r:id="rId24" w:history="1">
              <w:r w:rsidR="007B3F87" w:rsidRPr="007B3F87">
                <w:rPr>
                  <w:rStyle w:val="Hyperlink"/>
                  <w:sz w:val="20"/>
                  <w:szCs w:val="20"/>
                </w:rPr>
                <w:t>HSE - Noise at work</w:t>
              </w:r>
            </w:hyperlink>
          </w:p>
        </w:tc>
      </w:tr>
      <w:tr w:rsidR="00772FB4" w:rsidRPr="005F411B" w:rsidTr="007B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5F411B" w:rsidRDefault="00772FB4" w:rsidP="00772FB4">
            <w:pPr>
              <w:rPr>
                <w:color w:val="7030A0"/>
                <w:sz w:val="20"/>
                <w:szCs w:val="20"/>
              </w:rPr>
            </w:pPr>
            <w:r w:rsidRPr="005F411B">
              <w:rPr>
                <w:color w:val="7030A0"/>
                <w:sz w:val="20"/>
                <w:szCs w:val="20"/>
              </w:rPr>
              <w:t>31</w:t>
            </w:r>
          </w:p>
        </w:tc>
        <w:tc>
          <w:tcPr>
            <w:tcW w:w="4066" w:type="pct"/>
          </w:tcPr>
          <w:p w:rsidR="00772FB4" w:rsidRPr="005F411B" w:rsidRDefault="004E65BF" w:rsidP="007B3F87">
            <w:pPr>
              <w:cnfStyle w:val="000000100000" w:firstRow="0" w:lastRow="0" w:firstColumn="0" w:lastColumn="0" w:oddVBand="0" w:evenVBand="0" w:oddHBand="1" w:evenHBand="0" w:firstRowFirstColumn="0" w:firstRowLastColumn="0" w:lastRowFirstColumn="0" w:lastRowLastColumn="0"/>
              <w:rPr>
                <w:color w:val="943634" w:themeColor="accent2" w:themeShade="BF"/>
                <w:sz w:val="20"/>
                <w:szCs w:val="20"/>
              </w:rPr>
            </w:pPr>
            <w:hyperlink r:id="rId25" w:history="1">
              <w:r w:rsidR="00772FB4" w:rsidRPr="007B3F87">
                <w:rPr>
                  <w:rStyle w:val="Hyperlink"/>
                  <w:sz w:val="20"/>
                  <w:szCs w:val="20"/>
                </w:rPr>
                <w:t>HSE – Noise: Reducing Noise</w:t>
              </w:r>
            </w:hyperlink>
            <w:r w:rsidR="00772FB4" w:rsidRPr="005F411B">
              <w:rPr>
                <w:sz w:val="20"/>
                <w:szCs w:val="20"/>
              </w:rPr>
              <w:t xml:space="preserve"> </w:t>
            </w:r>
          </w:p>
        </w:tc>
      </w:tr>
      <w:tr w:rsidR="00772FB4" w:rsidRPr="005F411B" w:rsidTr="007B3F87">
        <w:tc>
          <w:tcPr>
            <w:cnfStyle w:val="001000000000" w:firstRow="0" w:lastRow="0" w:firstColumn="1" w:lastColumn="0" w:oddVBand="0" w:evenVBand="0" w:oddHBand="0" w:evenHBand="0" w:firstRowFirstColumn="0" w:firstRowLastColumn="0" w:lastRowFirstColumn="0" w:lastRowLastColumn="0"/>
            <w:tcW w:w="934" w:type="pct"/>
          </w:tcPr>
          <w:p w:rsidR="00772FB4" w:rsidRPr="009C2759" w:rsidRDefault="00772FB4" w:rsidP="00772FB4">
            <w:pPr>
              <w:rPr>
                <w:color w:val="7030A0"/>
                <w:sz w:val="20"/>
                <w:szCs w:val="20"/>
              </w:rPr>
            </w:pPr>
            <w:r w:rsidRPr="009C2759">
              <w:rPr>
                <w:color w:val="7030A0"/>
                <w:sz w:val="20"/>
                <w:szCs w:val="20"/>
              </w:rPr>
              <w:t>34</w:t>
            </w:r>
          </w:p>
        </w:tc>
        <w:tc>
          <w:tcPr>
            <w:tcW w:w="4066" w:type="pct"/>
          </w:tcPr>
          <w:p w:rsidR="00772FB4" w:rsidRPr="005F411B" w:rsidRDefault="004E65BF" w:rsidP="007B3F87">
            <w:pPr>
              <w:cnfStyle w:val="000000000000" w:firstRow="0" w:lastRow="0" w:firstColumn="0" w:lastColumn="0" w:oddVBand="0" w:evenVBand="0" w:oddHBand="0" w:evenHBand="0" w:firstRowFirstColumn="0" w:firstRowLastColumn="0" w:lastRowFirstColumn="0" w:lastRowLastColumn="0"/>
              <w:rPr>
                <w:sz w:val="20"/>
                <w:szCs w:val="20"/>
              </w:rPr>
            </w:pPr>
            <w:hyperlink r:id="rId26" w:history="1">
              <w:r w:rsidR="00772FB4" w:rsidRPr="007B3F87">
                <w:rPr>
                  <w:rStyle w:val="Hyperlink"/>
                  <w:sz w:val="20"/>
                  <w:szCs w:val="20"/>
                </w:rPr>
                <w:t>Environment Agency (2015) Waste Classifi</w:t>
              </w:r>
              <w:r w:rsidR="007B3F87" w:rsidRPr="007B3F87">
                <w:rPr>
                  <w:rStyle w:val="Hyperlink"/>
                  <w:sz w:val="20"/>
                  <w:szCs w:val="20"/>
                </w:rPr>
                <w:t>cation: Technical Guidance WM3</w:t>
              </w:r>
            </w:hyperlink>
          </w:p>
        </w:tc>
      </w:tr>
      <w:tr w:rsidR="00772FB4" w:rsidRPr="005F411B" w:rsidTr="007B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9C2759" w:rsidRDefault="00772FB4" w:rsidP="00772FB4">
            <w:pPr>
              <w:rPr>
                <w:color w:val="7030A0"/>
                <w:sz w:val="20"/>
                <w:szCs w:val="20"/>
              </w:rPr>
            </w:pPr>
            <w:r w:rsidRPr="009C2759">
              <w:rPr>
                <w:color w:val="7030A0"/>
                <w:sz w:val="20"/>
                <w:szCs w:val="20"/>
              </w:rPr>
              <w:t>35</w:t>
            </w:r>
          </w:p>
        </w:tc>
        <w:tc>
          <w:tcPr>
            <w:tcW w:w="4066" w:type="pct"/>
          </w:tcPr>
          <w:p w:rsidR="00772FB4" w:rsidRPr="005F411B" w:rsidRDefault="004E65BF" w:rsidP="007B3F87">
            <w:pPr>
              <w:cnfStyle w:val="000000100000" w:firstRow="0" w:lastRow="0" w:firstColumn="0" w:lastColumn="0" w:oddVBand="0" w:evenVBand="0" w:oddHBand="1" w:evenHBand="0" w:firstRowFirstColumn="0" w:firstRowLastColumn="0" w:lastRowFirstColumn="0" w:lastRowLastColumn="0"/>
              <w:rPr>
                <w:sz w:val="20"/>
                <w:szCs w:val="20"/>
              </w:rPr>
            </w:pPr>
            <w:hyperlink r:id="rId27" w:history="1">
              <w:r w:rsidR="00772FB4" w:rsidRPr="007B3F87">
                <w:rPr>
                  <w:rStyle w:val="Hyperlink"/>
                  <w:sz w:val="20"/>
                  <w:szCs w:val="20"/>
                </w:rPr>
                <w:t>GOV.UK (2019) Hazardous Waste: Consignees</w:t>
              </w:r>
            </w:hyperlink>
            <w:r w:rsidR="00772FB4" w:rsidRPr="005F411B">
              <w:rPr>
                <w:sz w:val="20"/>
                <w:szCs w:val="20"/>
              </w:rPr>
              <w:t xml:space="preserve"> </w:t>
            </w:r>
          </w:p>
        </w:tc>
      </w:tr>
      <w:tr w:rsidR="00772FB4" w:rsidRPr="005F411B" w:rsidTr="007B3F87">
        <w:tc>
          <w:tcPr>
            <w:cnfStyle w:val="001000000000" w:firstRow="0" w:lastRow="0" w:firstColumn="1" w:lastColumn="0" w:oddVBand="0" w:evenVBand="0" w:oddHBand="0" w:evenHBand="0" w:firstRowFirstColumn="0" w:firstRowLastColumn="0" w:lastRowFirstColumn="0" w:lastRowLastColumn="0"/>
            <w:tcW w:w="934" w:type="pct"/>
          </w:tcPr>
          <w:p w:rsidR="00772FB4" w:rsidRPr="009C2759" w:rsidRDefault="00772FB4" w:rsidP="00772FB4">
            <w:pPr>
              <w:rPr>
                <w:color w:val="7030A0"/>
                <w:sz w:val="20"/>
                <w:szCs w:val="20"/>
              </w:rPr>
            </w:pPr>
            <w:r w:rsidRPr="009C2759">
              <w:rPr>
                <w:color w:val="7030A0"/>
                <w:sz w:val="20"/>
                <w:szCs w:val="20"/>
              </w:rPr>
              <w:t>35</w:t>
            </w:r>
          </w:p>
        </w:tc>
        <w:tc>
          <w:tcPr>
            <w:tcW w:w="4066" w:type="pct"/>
          </w:tcPr>
          <w:p w:rsidR="00772FB4" w:rsidRPr="005F411B" w:rsidRDefault="004E65BF" w:rsidP="007B3F87">
            <w:pPr>
              <w:cnfStyle w:val="000000000000" w:firstRow="0" w:lastRow="0" w:firstColumn="0" w:lastColumn="0" w:oddVBand="0" w:evenVBand="0" w:oddHBand="0" w:evenHBand="0" w:firstRowFirstColumn="0" w:firstRowLastColumn="0" w:lastRowFirstColumn="0" w:lastRowLastColumn="0"/>
              <w:rPr>
                <w:sz w:val="20"/>
                <w:szCs w:val="20"/>
              </w:rPr>
            </w:pPr>
            <w:hyperlink r:id="rId28" w:history="1">
              <w:r w:rsidR="00772FB4" w:rsidRPr="007B3F87">
                <w:rPr>
                  <w:rStyle w:val="Hyperlink"/>
                  <w:sz w:val="20"/>
                  <w:szCs w:val="20"/>
                </w:rPr>
                <w:t>GOV.UK (2019) Hazardous Waste: Producers and Holders</w:t>
              </w:r>
            </w:hyperlink>
            <w:r w:rsidR="00772FB4" w:rsidRPr="005F411B">
              <w:rPr>
                <w:sz w:val="20"/>
                <w:szCs w:val="20"/>
              </w:rPr>
              <w:t xml:space="preserve"> </w:t>
            </w:r>
          </w:p>
        </w:tc>
      </w:tr>
      <w:tr w:rsidR="00772FB4" w:rsidRPr="005F411B" w:rsidTr="007B3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pct"/>
          </w:tcPr>
          <w:p w:rsidR="00772FB4" w:rsidRPr="009C2759" w:rsidRDefault="00772FB4" w:rsidP="00772FB4">
            <w:pPr>
              <w:rPr>
                <w:color w:val="7030A0"/>
                <w:sz w:val="20"/>
                <w:szCs w:val="20"/>
              </w:rPr>
            </w:pPr>
            <w:r w:rsidRPr="009C2759">
              <w:rPr>
                <w:color w:val="7030A0"/>
                <w:sz w:val="20"/>
                <w:szCs w:val="20"/>
              </w:rPr>
              <w:t>35</w:t>
            </w:r>
          </w:p>
        </w:tc>
        <w:tc>
          <w:tcPr>
            <w:tcW w:w="4066" w:type="pct"/>
          </w:tcPr>
          <w:p w:rsidR="00772FB4" w:rsidRPr="005F411B" w:rsidRDefault="004E65BF" w:rsidP="007B3F87">
            <w:pPr>
              <w:cnfStyle w:val="000000100000" w:firstRow="0" w:lastRow="0" w:firstColumn="0" w:lastColumn="0" w:oddVBand="0" w:evenVBand="0" w:oddHBand="1" w:evenHBand="0" w:firstRowFirstColumn="0" w:firstRowLastColumn="0" w:lastRowFirstColumn="0" w:lastRowLastColumn="0"/>
              <w:rPr>
                <w:sz w:val="20"/>
                <w:szCs w:val="20"/>
              </w:rPr>
            </w:pPr>
            <w:hyperlink r:id="rId29" w:history="1">
              <w:r w:rsidR="00772FB4" w:rsidRPr="007B3F87">
                <w:rPr>
                  <w:rStyle w:val="Hyperlink"/>
                  <w:sz w:val="20"/>
                  <w:szCs w:val="20"/>
                </w:rPr>
                <w:t>Natural Resources Wales (2019) Moving Hazardous Waste</w:t>
              </w:r>
            </w:hyperlink>
            <w:r w:rsidR="00772FB4" w:rsidRPr="005F411B">
              <w:rPr>
                <w:sz w:val="20"/>
                <w:szCs w:val="20"/>
              </w:rPr>
              <w:t xml:space="preserve"> </w:t>
            </w:r>
          </w:p>
        </w:tc>
      </w:tr>
    </w:tbl>
    <w:p w:rsidR="00FB64C7" w:rsidRDefault="00772FB4" w:rsidP="00772FB4">
      <w:pPr>
        <w:spacing w:before="240"/>
        <w:rPr>
          <w:i/>
        </w:rPr>
      </w:pPr>
      <w:r w:rsidRPr="00C02BF3">
        <w:rPr>
          <w:b/>
          <w:i/>
        </w:rPr>
        <w:t>Please note:</w:t>
      </w:r>
      <w:r w:rsidRPr="00C02BF3">
        <w:rPr>
          <w:i/>
        </w:rPr>
        <w:t xml:space="preserve"> this information was correct at the time of publishing. If you find these links are broken, type the document title into a search engine</w:t>
      </w:r>
    </w:p>
    <w:p w:rsidR="00772FB4" w:rsidRDefault="00772FB4" w:rsidP="00772FB4">
      <w:pPr>
        <w:spacing w:before="24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30"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headerReference w:type="default" r:id="rId31"/>
      <w:footerReference w:type="default" r:id="rId3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B4" w:rsidRDefault="00772FB4" w:rsidP="00033393">
      <w:pPr>
        <w:spacing w:after="0" w:line="240" w:lineRule="auto"/>
      </w:pPr>
      <w:r>
        <w:separator/>
      </w:r>
    </w:p>
  </w:endnote>
  <w:endnote w:type="continuationSeparator" w:id="0">
    <w:p w:rsidR="00772FB4" w:rsidRDefault="00772FB4"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772FB4" w:rsidRDefault="00772FB4" w:rsidP="00FB3587">
            <w:pPr>
              <w:spacing w:after="0"/>
            </w:pPr>
            <w:r>
              <w:rPr>
                <w:noProof/>
                <w:lang w:eastAsia="en-GB"/>
              </w:rPr>
              <mc:AlternateContent>
                <mc:Choice Requires="wps">
                  <w:drawing>
                    <wp:anchor distT="0" distB="0" distL="114300" distR="114300" simplePos="0" relativeHeight="251661312" behindDoc="0" locked="0" layoutInCell="1" allowOverlap="1" wp14:anchorId="290EEF8E" wp14:editId="3D08DF25">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4E65BF">
                          <w:rPr>
                            <w:b/>
                            <w:noProof/>
                          </w:rPr>
                          <w:t>3</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4E65BF">
                          <w:rPr>
                            <w:b/>
                            <w:noProof/>
                          </w:rPr>
                          <w:t>3</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B4" w:rsidRDefault="00772FB4" w:rsidP="00033393">
      <w:pPr>
        <w:spacing w:after="0" w:line="240" w:lineRule="auto"/>
      </w:pPr>
      <w:r>
        <w:separator/>
      </w:r>
    </w:p>
  </w:footnote>
  <w:footnote w:type="continuationSeparator" w:id="0">
    <w:p w:rsidR="00772FB4" w:rsidRDefault="00772FB4"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B4" w:rsidRPr="00033393" w:rsidRDefault="00772FB4">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42AD858B" wp14:editId="15E90FC7">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B5"/>
    <w:multiLevelType w:val="hybridMultilevel"/>
    <w:tmpl w:val="69C41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E525C"/>
    <w:multiLevelType w:val="hybridMultilevel"/>
    <w:tmpl w:val="D22C9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5F6138"/>
    <w:multiLevelType w:val="hybridMultilevel"/>
    <w:tmpl w:val="D5583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F2E97"/>
    <w:multiLevelType w:val="hybridMultilevel"/>
    <w:tmpl w:val="049C4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0E4776"/>
    <w:multiLevelType w:val="multilevel"/>
    <w:tmpl w:val="356E1D52"/>
    <w:lvl w:ilvl="0">
      <w:start w:val="1"/>
      <w:numFmt w:val="bullet"/>
      <w:lvlText w:val=""/>
      <w:lvlJc w:val="left"/>
      <w:pPr>
        <w:ind w:left="360" w:hanging="360"/>
      </w:pPr>
      <w:rPr>
        <w:rFonts w:ascii="Symbol" w:hAnsi="Symbol" w:hint="default"/>
        <w:sz w:val="22"/>
        <w:szCs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7BD3AE4"/>
    <w:multiLevelType w:val="hybridMultilevel"/>
    <w:tmpl w:val="062E8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FB7CFA"/>
    <w:multiLevelType w:val="hybridMultilevel"/>
    <w:tmpl w:val="B9D6CAC8"/>
    <w:lvl w:ilvl="0" w:tplc="F5FAFE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077306"/>
    <w:multiLevelType w:val="hybridMultilevel"/>
    <w:tmpl w:val="96608D18"/>
    <w:lvl w:ilvl="0" w:tplc="5784C8C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5F1AE7"/>
    <w:multiLevelType w:val="hybridMultilevel"/>
    <w:tmpl w:val="6F86D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CC5B0A"/>
    <w:multiLevelType w:val="hybridMultilevel"/>
    <w:tmpl w:val="B0647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2B5FB4"/>
    <w:multiLevelType w:val="hybridMultilevel"/>
    <w:tmpl w:val="3AB2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B99200A"/>
    <w:multiLevelType w:val="hybridMultilevel"/>
    <w:tmpl w:val="97F03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6106F4"/>
    <w:multiLevelType w:val="hybridMultilevel"/>
    <w:tmpl w:val="B8C87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9"/>
  </w:num>
  <w:num w:numId="5">
    <w:abstractNumId w:val="1"/>
  </w:num>
  <w:num w:numId="6">
    <w:abstractNumId w:val="13"/>
  </w:num>
  <w:num w:numId="7">
    <w:abstractNumId w:val="11"/>
  </w:num>
  <w:num w:numId="8">
    <w:abstractNumId w:val="16"/>
  </w:num>
  <w:num w:numId="9">
    <w:abstractNumId w:val="4"/>
  </w:num>
  <w:num w:numId="10">
    <w:abstractNumId w:val="10"/>
  </w:num>
  <w:num w:numId="11">
    <w:abstractNumId w:val="5"/>
  </w:num>
  <w:num w:numId="12">
    <w:abstractNumId w:val="12"/>
  </w:num>
  <w:num w:numId="13">
    <w:abstractNumId w:val="2"/>
  </w:num>
  <w:num w:numId="14">
    <w:abstractNumId w:val="7"/>
  </w:num>
  <w:num w:numId="15">
    <w:abstractNumId w:val="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218C2"/>
    <w:rsid w:val="0002797C"/>
    <w:rsid w:val="00033393"/>
    <w:rsid w:val="000C3A3D"/>
    <w:rsid w:val="0018616D"/>
    <w:rsid w:val="001D62C0"/>
    <w:rsid w:val="00286918"/>
    <w:rsid w:val="002A7135"/>
    <w:rsid w:val="002C0566"/>
    <w:rsid w:val="002D0E76"/>
    <w:rsid w:val="00327D79"/>
    <w:rsid w:val="003321AB"/>
    <w:rsid w:val="003F6D66"/>
    <w:rsid w:val="004214F5"/>
    <w:rsid w:val="00440CA7"/>
    <w:rsid w:val="00472A18"/>
    <w:rsid w:val="004E65BF"/>
    <w:rsid w:val="005607D4"/>
    <w:rsid w:val="005B56BE"/>
    <w:rsid w:val="00616296"/>
    <w:rsid w:val="00626FFC"/>
    <w:rsid w:val="0069215B"/>
    <w:rsid w:val="006A726F"/>
    <w:rsid w:val="00772FB4"/>
    <w:rsid w:val="007A593D"/>
    <w:rsid w:val="007B3F87"/>
    <w:rsid w:val="007E0D73"/>
    <w:rsid w:val="008A2290"/>
    <w:rsid w:val="008B1233"/>
    <w:rsid w:val="00964157"/>
    <w:rsid w:val="009B1D44"/>
    <w:rsid w:val="009B5506"/>
    <w:rsid w:val="009C2759"/>
    <w:rsid w:val="009D38EB"/>
    <w:rsid w:val="00A6136C"/>
    <w:rsid w:val="00A674E5"/>
    <w:rsid w:val="00A97B72"/>
    <w:rsid w:val="00AA6976"/>
    <w:rsid w:val="00AB5205"/>
    <w:rsid w:val="00AE4804"/>
    <w:rsid w:val="00B15D2A"/>
    <w:rsid w:val="00BE5446"/>
    <w:rsid w:val="00C02BF3"/>
    <w:rsid w:val="00C20806"/>
    <w:rsid w:val="00C611B5"/>
    <w:rsid w:val="00C67062"/>
    <w:rsid w:val="00C776A7"/>
    <w:rsid w:val="00D3465C"/>
    <w:rsid w:val="00D90EA2"/>
    <w:rsid w:val="00DA45AD"/>
    <w:rsid w:val="00DB0056"/>
    <w:rsid w:val="00E961A5"/>
    <w:rsid w:val="00F02619"/>
    <w:rsid w:val="00F029FD"/>
    <w:rsid w:val="00FB3587"/>
    <w:rsid w:val="00FB64C7"/>
    <w:rsid w:val="00FD3220"/>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character" w:styleId="FollowedHyperlink">
    <w:name w:val="FollowedHyperlink"/>
    <w:basedOn w:val="DefaultParagraphFont"/>
    <w:uiPriority w:val="99"/>
    <w:semiHidden/>
    <w:unhideWhenUsed/>
    <w:rsid w:val="002D0E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character" w:styleId="FollowedHyperlink">
    <w:name w:val="FollowedHyperlink"/>
    <w:basedOn w:val="DefaultParagraphFont"/>
    <w:uiPriority w:val="99"/>
    <w:semiHidden/>
    <w:unhideWhenUsed/>
    <w:rsid w:val="002D0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collections/standard-rules-environmental-permitting" TargetMode="External"/><Relationship Id="rId18" Type="http://schemas.openxmlformats.org/officeDocument/2006/relationships/hyperlink" Target="http://www.legislation.gov.uk/uksi/2015/1935/contents/made" TargetMode="External"/><Relationship Id="rId26" Type="http://schemas.openxmlformats.org/officeDocument/2006/relationships/hyperlink" Target="https://www.gov.uk/government/uploads/system/uploads/attachment_data/file/427077/LIT_10121.pdf" TargetMode="External"/><Relationship Id="rId3" Type="http://schemas.openxmlformats.org/officeDocument/2006/relationships/styles" Target="styles.xml"/><Relationship Id="rId21" Type="http://schemas.openxmlformats.org/officeDocument/2006/relationships/hyperlink" Target="https://wishforum.org.uk/wp-content/uploads/2017/02/WASTE-03.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collections/standard-rules-environmental-permitting" TargetMode="External"/><Relationship Id="rId17" Type="http://schemas.openxmlformats.org/officeDocument/2006/relationships/hyperlink" Target="http://www.legislation.gov.uk/uksi/2009/890/contents/made" TargetMode="External"/><Relationship Id="rId25" Type="http://schemas.openxmlformats.org/officeDocument/2006/relationships/hyperlink" Target="http://www.hse.gov.uk/noise/reducenoise.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hazardous-waste-rejected-loads-supplementary-guidance" TargetMode="External"/><Relationship Id="rId20" Type="http://schemas.openxmlformats.org/officeDocument/2006/relationships/hyperlink" Target="http://www.hse.gov.uk/pUbns/priced/hsg176.pdf" TargetMode="External"/><Relationship Id="rId29" Type="http://schemas.openxmlformats.org/officeDocument/2006/relationships/hyperlink" Target="https://naturalresources.wales/guidance-and-advice/environmental-topics/waste-management/moving-hazardous-waste/?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standard-rules-environmental-permitting" TargetMode="External"/><Relationship Id="rId24" Type="http://schemas.openxmlformats.org/officeDocument/2006/relationships/hyperlink" Target="http://www.hse.gov.uk/nois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aturalresources.wales/permits-and-permissions/waste/waste-permits/apply-for-a-new-standard-permit-for-waste-operations/?lang=en" TargetMode="External"/><Relationship Id="rId23" Type="http://schemas.openxmlformats.org/officeDocument/2006/relationships/hyperlink" Target="http://www.hse.gov.uk/vibration/wbv/risks.htm" TargetMode="External"/><Relationship Id="rId28" Type="http://schemas.openxmlformats.org/officeDocument/2006/relationships/hyperlink" Target="https://www.gov.uk/dispose-hazardous-waste/producers-and-holders" TargetMode="External"/><Relationship Id="rId10" Type="http://schemas.openxmlformats.org/officeDocument/2006/relationships/hyperlink" Target="http://www.legislation.gov.uk/ukpga/2013/10/pdfs/ukpgaen_20130010_en.pdf" TargetMode="External"/><Relationship Id="rId19" Type="http://schemas.openxmlformats.org/officeDocument/2006/relationships/hyperlink" Target="https://www.gov.uk/guidance/storing-oil-at-a-home-or-business"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islation.gov.uk/ukpga/2013/10/enacted" TargetMode="External"/><Relationship Id="rId14" Type="http://schemas.openxmlformats.org/officeDocument/2006/relationships/hyperlink" Target="https://www.gov.uk/government/collections/standard-rules-environmental-permitting" TargetMode="External"/><Relationship Id="rId22" Type="http://schemas.openxmlformats.org/officeDocument/2006/relationships/hyperlink" Target="http://www.hse.gov.uk/workplacetransport/checklist/section5.htm" TargetMode="External"/><Relationship Id="rId27" Type="http://schemas.openxmlformats.org/officeDocument/2006/relationships/hyperlink" Target="https://www.gov.uk/dispose-hazardous-waste/consignees" TargetMode="External"/><Relationship Id="rId30" Type="http://schemas.openxmlformats.org/officeDocument/2006/relationships/hyperlink" Target="https://wamitab.org.uk/competence/continuing-competence/test-scor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2CC8C8-5638-4C38-A3D1-9F500E66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2019-02-18T16:25:00Z</dcterms:created>
  <dcterms:modified xsi:type="dcterms:W3CDTF">2019-02-18T16:25:00Z</dcterms:modified>
</cp:coreProperties>
</file>