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0114D8" w:rsidP="007975BB">
      <w:pPr>
        <w:spacing w:before="240" w:after="0" w:line="240" w:lineRule="auto"/>
        <w:rPr>
          <w:b/>
          <w:color w:val="7030A0"/>
          <w:sz w:val="24"/>
        </w:rPr>
      </w:pPr>
      <w:bookmarkStart w:id="0" w:name="_GoBack"/>
      <w:bookmarkEnd w:id="0"/>
      <w:r>
        <w:rPr>
          <w:b/>
          <w:color w:val="7030A0"/>
          <w:sz w:val="24"/>
        </w:rPr>
        <w:t>Treatment and Transfer Hazardous</w:t>
      </w:r>
    </w:p>
    <w:p w:rsidR="00A6136C" w:rsidRDefault="00A6136C" w:rsidP="007975BB">
      <w:pPr>
        <w:spacing w:after="0" w:line="240" w:lineRule="auto"/>
        <w:rPr>
          <w:b/>
        </w:rPr>
      </w:pPr>
      <w:r>
        <w:rPr>
          <w:b/>
        </w:rPr>
        <w:t>Content Changes 2016-2018 Revision Guide</w:t>
      </w:r>
    </w:p>
    <w:p w:rsidR="00E92B99" w:rsidRPr="00E92B99" w:rsidRDefault="00E92B99" w:rsidP="00E92B99">
      <w:pPr>
        <w:spacing w:after="0"/>
        <w:rPr>
          <w:rFonts w:ascii="Calibri" w:eastAsia="Calibri" w:hAnsi="Calibri" w:cs="Times New Roman"/>
          <w:b/>
          <w:i/>
        </w:rPr>
      </w:pPr>
      <w:r w:rsidRPr="00E92B99">
        <w:rPr>
          <w:rFonts w:ascii="Calibri" w:eastAsia="Calibri" w:hAnsi="Calibri" w:cs="Times New Roman"/>
          <w:b/>
          <w:i/>
        </w:rPr>
        <w:t xml:space="preserve">All page numbers refer to the 2016-2018 Revision Guides with red covers. </w:t>
      </w:r>
    </w:p>
    <w:p w:rsidR="00E92B99" w:rsidRDefault="00E92B99" w:rsidP="007975BB">
      <w:pPr>
        <w:spacing w:after="0" w:line="240" w:lineRule="auto"/>
        <w:rPr>
          <w:b/>
        </w:rPr>
      </w:pPr>
    </w:p>
    <w:p w:rsidR="000114D8" w:rsidRDefault="000114D8" w:rsidP="007975BB">
      <w:pPr>
        <w:spacing w:line="240" w:lineRule="auto"/>
        <w:rPr>
          <w:i/>
          <w:color w:val="7030A0"/>
        </w:rPr>
      </w:pPr>
      <w:r>
        <w:rPr>
          <w:i/>
          <w:color w:val="7030A0"/>
        </w:rPr>
        <w:t>Section 1: Mirror Entries, page 13</w:t>
      </w:r>
    </w:p>
    <w:p w:rsidR="000114D8" w:rsidRDefault="000114D8" w:rsidP="007975BB">
      <w:pPr>
        <w:pStyle w:val="ListParagraph"/>
        <w:numPr>
          <w:ilvl w:val="0"/>
          <w:numId w:val="19"/>
        </w:numPr>
        <w:spacing w:line="240" w:lineRule="auto"/>
      </w:pPr>
      <w:r>
        <w:t>A hazardous waste entry (or entries) are marked with an asterisk (*).</w:t>
      </w:r>
    </w:p>
    <w:p w:rsidR="00FA1E05" w:rsidRPr="000114D8" w:rsidRDefault="00FA1E05" w:rsidP="007975BB">
      <w:pPr>
        <w:pStyle w:val="ListParagraph"/>
        <w:numPr>
          <w:ilvl w:val="0"/>
          <w:numId w:val="19"/>
        </w:numPr>
        <w:spacing w:line="240" w:lineRule="auto"/>
      </w:pPr>
      <w:r>
        <w:t>There are no numerical waste acceptance criteria limits for landfills for non-hazardous waste.</w:t>
      </w:r>
    </w:p>
    <w:p w:rsidR="000114D8" w:rsidRDefault="000114D8" w:rsidP="007975BB">
      <w:pPr>
        <w:spacing w:line="240" w:lineRule="auto"/>
        <w:rPr>
          <w:i/>
          <w:color w:val="7030A0"/>
        </w:rPr>
      </w:pPr>
      <w:r>
        <w:rPr>
          <w:i/>
          <w:color w:val="7030A0"/>
        </w:rPr>
        <w:t>Section 2: Incorrectly Consigned, page 19</w:t>
      </w:r>
    </w:p>
    <w:p w:rsidR="00F9256E" w:rsidRPr="000114D8" w:rsidRDefault="000114D8" w:rsidP="007975BB">
      <w:pPr>
        <w:spacing w:line="240" w:lineRule="auto"/>
        <w:rPr>
          <w:sz w:val="24"/>
        </w:rPr>
      </w:pPr>
      <w:r w:rsidRPr="000114D8">
        <w:t>If there was no consignment note or the original code was wrong, the consignee will issue the carrier with a rejection document with a code for the rejected load in the format REJECT/XXXYY.</w:t>
      </w:r>
    </w:p>
    <w:p w:rsidR="000114D8" w:rsidRDefault="000114D8" w:rsidP="007975BB">
      <w:pPr>
        <w:spacing w:line="240" w:lineRule="auto"/>
        <w:rPr>
          <w:i/>
          <w:color w:val="7030A0"/>
        </w:rPr>
      </w:pPr>
      <w:r>
        <w:rPr>
          <w:i/>
          <w:color w:val="7030A0"/>
        </w:rPr>
        <w:t>Section 2: Record Keeping, page 21</w:t>
      </w:r>
    </w:p>
    <w:p w:rsidR="000114D8" w:rsidRPr="00E31A35" w:rsidRDefault="000114D8" w:rsidP="007975BB">
      <w:pPr>
        <w:spacing w:line="240" w:lineRule="auto"/>
      </w:pPr>
      <w:r>
        <w:t xml:space="preserve">Operators, producers and holders must keep </w:t>
      </w:r>
      <w:r w:rsidRPr="00E31A35">
        <w:t>copies of:</w:t>
      </w:r>
    </w:p>
    <w:p w:rsidR="000114D8" w:rsidRPr="00E31A35" w:rsidRDefault="000114D8" w:rsidP="007975BB">
      <w:pPr>
        <w:pStyle w:val="ListParagraph"/>
        <w:numPr>
          <w:ilvl w:val="0"/>
          <w:numId w:val="22"/>
        </w:numPr>
        <w:spacing w:line="240" w:lineRule="auto"/>
      </w:pPr>
      <w:r w:rsidRPr="00E31A35">
        <w:t>Consignment notes</w:t>
      </w:r>
      <w:r>
        <w:t>.</w:t>
      </w:r>
    </w:p>
    <w:p w:rsidR="000114D8" w:rsidRPr="00E31A35" w:rsidRDefault="000114D8" w:rsidP="007975BB">
      <w:pPr>
        <w:pStyle w:val="ListParagraph"/>
        <w:numPr>
          <w:ilvl w:val="0"/>
          <w:numId w:val="22"/>
        </w:numPr>
        <w:spacing w:line="240" w:lineRule="auto"/>
      </w:pPr>
      <w:r w:rsidRPr="00E31A35">
        <w:t>Consignee returns</w:t>
      </w:r>
      <w:r>
        <w:t>.</w:t>
      </w:r>
      <w:r w:rsidRPr="00E31A35">
        <w:t xml:space="preserve"> </w:t>
      </w:r>
    </w:p>
    <w:p w:rsidR="00F9256E" w:rsidRDefault="000114D8" w:rsidP="007975BB">
      <w:pPr>
        <w:pStyle w:val="ListParagraph"/>
        <w:numPr>
          <w:ilvl w:val="0"/>
          <w:numId w:val="22"/>
        </w:numPr>
        <w:spacing w:line="240" w:lineRule="auto"/>
      </w:pPr>
      <w:r>
        <w:t>Any related documents</w:t>
      </w:r>
      <w:r w:rsidRPr="00E31A35">
        <w:t xml:space="preserve"> e.g. ‘carrier schedules’ (list of carriers when there is more than one), records of rejected loads</w:t>
      </w:r>
      <w:r>
        <w:t>, compliance checks, findings of investigations and actions taken.</w:t>
      </w:r>
      <w:r w:rsidRPr="00E31A35">
        <w:t xml:space="preserve"> </w:t>
      </w:r>
    </w:p>
    <w:p w:rsidR="000114D8" w:rsidRDefault="000114D8" w:rsidP="007975BB">
      <w:pPr>
        <w:spacing w:line="240" w:lineRule="auto"/>
        <w:rPr>
          <w:i/>
          <w:color w:val="7030A0"/>
        </w:rPr>
      </w:pPr>
      <w:r>
        <w:rPr>
          <w:i/>
          <w:color w:val="7030A0"/>
        </w:rPr>
        <w:t>Section 3: Characterising Wastes and Pre-Acceptance Checks, page 24</w:t>
      </w:r>
    </w:p>
    <w:p w:rsidR="007975BB" w:rsidRDefault="007975BB" w:rsidP="007975BB">
      <w:pPr>
        <w:spacing w:line="240" w:lineRule="auto"/>
        <w:rPr>
          <w:color w:val="000000" w:themeColor="text1"/>
        </w:rPr>
      </w:pPr>
      <w:r>
        <w:rPr>
          <w:color w:val="000000" w:themeColor="text1"/>
        </w:rPr>
        <w:t>The holder of controlled waste has a duty of care to identify and describe this waste.</w:t>
      </w:r>
    </w:p>
    <w:p w:rsidR="007975BB" w:rsidRPr="007975BB" w:rsidRDefault="007975BB" w:rsidP="007975BB">
      <w:pPr>
        <w:spacing w:line="240" w:lineRule="auto"/>
        <w:rPr>
          <w:color w:val="00B050"/>
        </w:rPr>
      </w:pPr>
      <w:r>
        <w:t>All records related to pre-acceptance should be maintained at the installation for cross-reference and verification during the waste acceptance stage.</w:t>
      </w:r>
    </w:p>
    <w:p w:rsidR="007975BB" w:rsidRDefault="007975BB" w:rsidP="007975BB">
      <w:pPr>
        <w:spacing w:line="240" w:lineRule="auto"/>
        <w:rPr>
          <w:i/>
          <w:color w:val="7030A0"/>
        </w:rPr>
      </w:pPr>
      <w:r>
        <w:rPr>
          <w:i/>
          <w:color w:val="7030A0"/>
        </w:rPr>
        <w:t>Section 4: Audit Trail, page 29</w:t>
      </w:r>
    </w:p>
    <w:p w:rsidR="007975BB" w:rsidRDefault="007975BB" w:rsidP="007975BB">
      <w:pPr>
        <w:spacing w:line="240" w:lineRule="auto"/>
        <w:rPr>
          <w:color w:val="000000" w:themeColor="text1"/>
        </w:rPr>
      </w:pPr>
      <w:r>
        <w:rPr>
          <w:color w:val="000000" w:themeColor="text1"/>
        </w:rPr>
        <w:t>A waste operator must include a waste storage plan that states:</w:t>
      </w:r>
    </w:p>
    <w:p w:rsidR="007975BB" w:rsidRDefault="007975BB" w:rsidP="007975BB">
      <w:pPr>
        <w:pStyle w:val="ListParagraph"/>
        <w:numPr>
          <w:ilvl w:val="0"/>
          <w:numId w:val="24"/>
        </w:numPr>
        <w:spacing w:line="240" w:lineRule="auto"/>
        <w:rPr>
          <w:color w:val="000000" w:themeColor="text1"/>
        </w:rPr>
      </w:pPr>
      <w:r>
        <w:rPr>
          <w:color w:val="000000" w:themeColor="text1"/>
        </w:rPr>
        <w:t>The maximum amount of time that each type of waste is stored on site.</w:t>
      </w:r>
    </w:p>
    <w:p w:rsidR="00E14FF0" w:rsidRDefault="00E14FF0" w:rsidP="00E14FF0">
      <w:pPr>
        <w:pStyle w:val="ListParagraph"/>
        <w:spacing w:line="240" w:lineRule="auto"/>
        <w:ind w:left="360"/>
        <w:rPr>
          <w:color w:val="000000" w:themeColor="text1"/>
        </w:rPr>
      </w:pPr>
    </w:p>
    <w:p w:rsidR="00E14FF0" w:rsidRDefault="00E14FF0" w:rsidP="00E14FF0">
      <w:pPr>
        <w:pStyle w:val="ListParagraph"/>
        <w:spacing w:line="240" w:lineRule="auto"/>
        <w:ind w:left="360"/>
        <w:rPr>
          <w:color w:val="000000" w:themeColor="text1"/>
        </w:rPr>
      </w:pPr>
    </w:p>
    <w:p w:rsidR="007975BB" w:rsidRDefault="007975BB" w:rsidP="007975BB">
      <w:pPr>
        <w:pStyle w:val="ListParagraph"/>
        <w:numPr>
          <w:ilvl w:val="0"/>
          <w:numId w:val="24"/>
        </w:numPr>
        <w:spacing w:line="240" w:lineRule="auto"/>
        <w:rPr>
          <w:color w:val="000000" w:themeColor="text1"/>
        </w:rPr>
      </w:pPr>
      <w:r>
        <w:rPr>
          <w:color w:val="000000" w:themeColor="text1"/>
        </w:rPr>
        <w:t>How they will make sure waste storage will not exceed these time limits.</w:t>
      </w:r>
    </w:p>
    <w:p w:rsidR="007975BB" w:rsidRPr="009976FE" w:rsidRDefault="007975BB" w:rsidP="007975BB">
      <w:pPr>
        <w:pStyle w:val="ListParagraph"/>
        <w:numPr>
          <w:ilvl w:val="0"/>
          <w:numId w:val="24"/>
        </w:numPr>
        <w:spacing w:line="240" w:lineRule="auto"/>
        <w:rPr>
          <w:color w:val="000000" w:themeColor="text1"/>
        </w:rPr>
      </w:pPr>
      <w:r w:rsidRPr="009976FE">
        <w:rPr>
          <w:color w:val="000000" w:themeColor="text1"/>
        </w:rPr>
        <w:t>The maximum amount of each type of waste that will be stored.</w:t>
      </w:r>
    </w:p>
    <w:p w:rsidR="007975BB" w:rsidRDefault="007975BB" w:rsidP="007975BB">
      <w:pPr>
        <w:pStyle w:val="ListParagraph"/>
        <w:numPr>
          <w:ilvl w:val="0"/>
          <w:numId w:val="24"/>
        </w:numPr>
        <w:spacing w:line="240" w:lineRule="auto"/>
        <w:rPr>
          <w:color w:val="000000" w:themeColor="text1"/>
        </w:rPr>
      </w:pPr>
      <w:r>
        <w:rPr>
          <w:color w:val="000000" w:themeColor="text1"/>
        </w:rPr>
        <w:t>The maximum height of each storage pile on site.</w:t>
      </w:r>
    </w:p>
    <w:p w:rsidR="007975BB" w:rsidRDefault="007975BB" w:rsidP="007975BB">
      <w:pPr>
        <w:pStyle w:val="ListParagraph"/>
        <w:numPr>
          <w:ilvl w:val="0"/>
          <w:numId w:val="24"/>
        </w:numPr>
        <w:spacing w:line="240" w:lineRule="auto"/>
        <w:rPr>
          <w:color w:val="000000" w:themeColor="text1"/>
        </w:rPr>
      </w:pPr>
      <w:r>
        <w:rPr>
          <w:color w:val="000000" w:themeColor="text1"/>
        </w:rPr>
        <w:t>How they will identify the specific types of waste being stored.</w:t>
      </w:r>
    </w:p>
    <w:p w:rsidR="007975BB" w:rsidRDefault="007975BB" w:rsidP="007975BB">
      <w:pPr>
        <w:pStyle w:val="ListParagraph"/>
        <w:numPr>
          <w:ilvl w:val="0"/>
          <w:numId w:val="24"/>
        </w:numPr>
        <w:spacing w:line="240" w:lineRule="auto"/>
        <w:rPr>
          <w:color w:val="000000" w:themeColor="text1"/>
        </w:rPr>
      </w:pPr>
      <w:r>
        <w:rPr>
          <w:color w:val="000000" w:themeColor="text1"/>
        </w:rPr>
        <w:t>How they will separate different types of waste if required.</w:t>
      </w:r>
    </w:p>
    <w:p w:rsidR="007975BB" w:rsidRPr="009B6CA2" w:rsidRDefault="007975BB" w:rsidP="007975BB">
      <w:pPr>
        <w:pStyle w:val="ListParagraph"/>
        <w:numPr>
          <w:ilvl w:val="0"/>
          <w:numId w:val="24"/>
        </w:numPr>
        <w:spacing w:line="240" w:lineRule="auto"/>
        <w:rPr>
          <w:color w:val="000000" w:themeColor="text1"/>
        </w:rPr>
      </w:pPr>
      <w:r>
        <w:rPr>
          <w:color w:val="000000" w:themeColor="text1"/>
        </w:rPr>
        <w:t>How they will make sure the site only takes waste that the permit allows them to store.</w:t>
      </w:r>
    </w:p>
    <w:p w:rsidR="007975BB" w:rsidRPr="007975BB" w:rsidRDefault="007975BB" w:rsidP="007975BB">
      <w:pPr>
        <w:rPr>
          <w:b/>
          <w:color w:val="7030A0"/>
        </w:rPr>
      </w:pPr>
      <w:r w:rsidRPr="007975BB">
        <w:rPr>
          <w:b/>
          <w:color w:val="7030A0"/>
        </w:rPr>
        <w:t>Records</w:t>
      </w:r>
    </w:p>
    <w:p w:rsidR="007975BB" w:rsidRDefault="007975BB" w:rsidP="007975BB">
      <w:pPr>
        <w:spacing w:line="240" w:lineRule="auto"/>
        <w:rPr>
          <w:color w:val="000000" w:themeColor="text1"/>
        </w:rPr>
      </w:pPr>
      <w:r>
        <w:rPr>
          <w:color w:val="000000" w:themeColor="text1"/>
        </w:rPr>
        <w:t>For each load treated, disposed of or managed, the operator must record:</w:t>
      </w:r>
    </w:p>
    <w:p w:rsidR="007975BB" w:rsidRDefault="007975BB" w:rsidP="007975BB">
      <w:pPr>
        <w:pStyle w:val="ListParagraph"/>
        <w:numPr>
          <w:ilvl w:val="0"/>
          <w:numId w:val="25"/>
        </w:numPr>
        <w:spacing w:line="240" w:lineRule="auto"/>
        <w:rPr>
          <w:color w:val="000000" w:themeColor="text1"/>
        </w:rPr>
      </w:pPr>
      <w:r>
        <w:rPr>
          <w:color w:val="000000" w:themeColor="text1"/>
        </w:rPr>
        <w:t>The quantity.</w:t>
      </w:r>
    </w:p>
    <w:p w:rsidR="007975BB" w:rsidRDefault="007975BB" w:rsidP="007975BB">
      <w:pPr>
        <w:pStyle w:val="ListParagraph"/>
        <w:numPr>
          <w:ilvl w:val="0"/>
          <w:numId w:val="25"/>
        </w:numPr>
        <w:spacing w:line="240" w:lineRule="auto"/>
        <w:rPr>
          <w:color w:val="000000" w:themeColor="text1"/>
        </w:rPr>
      </w:pPr>
      <w:r>
        <w:rPr>
          <w:color w:val="000000" w:themeColor="text1"/>
        </w:rPr>
        <w:t>The List of Wastes.</w:t>
      </w:r>
    </w:p>
    <w:p w:rsidR="007975BB" w:rsidRDefault="007975BB" w:rsidP="007975BB">
      <w:pPr>
        <w:pStyle w:val="ListParagraph"/>
        <w:numPr>
          <w:ilvl w:val="0"/>
          <w:numId w:val="25"/>
        </w:numPr>
        <w:spacing w:line="240" w:lineRule="auto"/>
        <w:rPr>
          <w:color w:val="000000" w:themeColor="text1"/>
        </w:rPr>
      </w:pPr>
      <w:r>
        <w:rPr>
          <w:color w:val="000000" w:themeColor="text1"/>
        </w:rPr>
        <w:t>Its origin.</w:t>
      </w:r>
    </w:p>
    <w:p w:rsidR="007975BB" w:rsidRDefault="007975BB" w:rsidP="007975BB">
      <w:pPr>
        <w:pStyle w:val="ListParagraph"/>
        <w:numPr>
          <w:ilvl w:val="0"/>
          <w:numId w:val="25"/>
        </w:numPr>
        <w:spacing w:line="240" w:lineRule="auto"/>
        <w:rPr>
          <w:color w:val="000000" w:themeColor="text1"/>
        </w:rPr>
      </w:pPr>
      <w:r>
        <w:rPr>
          <w:color w:val="000000" w:themeColor="text1"/>
        </w:rPr>
        <w:t>The producer identity.</w:t>
      </w:r>
    </w:p>
    <w:p w:rsidR="007975BB" w:rsidRDefault="007975BB" w:rsidP="007975BB">
      <w:pPr>
        <w:pStyle w:val="ListParagraph"/>
        <w:numPr>
          <w:ilvl w:val="0"/>
          <w:numId w:val="25"/>
        </w:numPr>
        <w:spacing w:line="240" w:lineRule="auto"/>
        <w:rPr>
          <w:color w:val="000000" w:themeColor="text1"/>
        </w:rPr>
      </w:pPr>
      <w:r>
        <w:rPr>
          <w:color w:val="000000" w:themeColor="text1"/>
        </w:rPr>
        <w:t>Waste arrival date.</w:t>
      </w:r>
    </w:p>
    <w:p w:rsidR="007975BB" w:rsidRDefault="007975BB" w:rsidP="007975BB">
      <w:pPr>
        <w:pStyle w:val="ListParagraph"/>
        <w:numPr>
          <w:ilvl w:val="0"/>
          <w:numId w:val="25"/>
        </w:numPr>
        <w:spacing w:line="240" w:lineRule="auto"/>
        <w:rPr>
          <w:color w:val="000000" w:themeColor="text1"/>
        </w:rPr>
      </w:pPr>
      <w:r>
        <w:rPr>
          <w:color w:val="000000" w:themeColor="text1"/>
        </w:rPr>
        <w:t>Date waste produced.</w:t>
      </w:r>
    </w:p>
    <w:p w:rsidR="007975BB" w:rsidRPr="009808C2" w:rsidRDefault="007975BB" w:rsidP="007975BB">
      <w:pPr>
        <w:pStyle w:val="ListParagraph"/>
        <w:numPr>
          <w:ilvl w:val="0"/>
          <w:numId w:val="25"/>
        </w:numPr>
        <w:spacing w:line="240" w:lineRule="auto"/>
        <w:rPr>
          <w:color w:val="000000" w:themeColor="text1"/>
        </w:rPr>
      </w:pPr>
      <w:r>
        <w:rPr>
          <w:color w:val="000000" w:themeColor="text1"/>
        </w:rPr>
        <w:t xml:space="preserve">Quarantined waste. </w:t>
      </w:r>
    </w:p>
    <w:p w:rsidR="007975BB" w:rsidRDefault="007975BB" w:rsidP="007975BB">
      <w:pPr>
        <w:spacing w:line="240" w:lineRule="auto"/>
        <w:rPr>
          <w:i/>
          <w:color w:val="7030A0"/>
        </w:rPr>
      </w:pPr>
      <w:r>
        <w:rPr>
          <w:i/>
          <w:color w:val="7030A0"/>
        </w:rPr>
        <w:t>Section 5: Containers, page 33</w:t>
      </w:r>
    </w:p>
    <w:p w:rsidR="007975BB" w:rsidRPr="007975BB" w:rsidRDefault="007975BB" w:rsidP="007975BB">
      <w:r w:rsidRPr="007975BB">
        <w:t>Wastes in containers should be transferred into storage vessels by dip pipe to minimise splash, odour and fumes.</w:t>
      </w:r>
    </w:p>
    <w:p w:rsidR="007975BB" w:rsidRDefault="007975BB" w:rsidP="007975BB">
      <w:pPr>
        <w:spacing w:line="240" w:lineRule="auto"/>
        <w:rPr>
          <w:i/>
          <w:color w:val="7030A0"/>
        </w:rPr>
      </w:pPr>
      <w:r>
        <w:rPr>
          <w:i/>
          <w:color w:val="7030A0"/>
        </w:rPr>
        <w:t>Section 5: Labelling, page 34</w:t>
      </w:r>
    </w:p>
    <w:p w:rsidR="007975BB" w:rsidRPr="004A2E1D" w:rsidRDefault="007975BB" w:rsidP="007975BB">
      <w:pPr>
        <w:spacing w:line="240" w:lineRule="auto"/>
        <w:rPr>
          <w:b/>
        </w:rPr>
      </w:pPr>
      <w:r w:rsidRPr="004A2E1D">
        <w:rPr>
          <w:b/>
        </w:rPr>
        <w:t>Mixing is prohibited where:</w:t>
      </w:r>
    </w:p>
    <w:p w:rsidR="007975BB" w:rsidRPr="004A2E1D" w:rsidRDefault="007975BB" w:rsidP="007975BB">
      <w:pPr>
        <w:pStyle w:val="ListParagraph"/>
        <w:numPr>
          <w:ilvl w:val="0"/>
          <w:numId w:val="26"/>
        </w:numPr>
        <w:spacing w:line="240" w:lineRule="auto"/>
      </w:pPr>
      <w:r w:rsidRPr="004A2E1D">
        <w:t>It results in an incompatible mix</w:t>
      </w:r>
    </w:p>
    <w:p w:rsidR="007975BB" w:rsidRPr="004A2E1D" w:rsidRDefault="007975BB" w:rsidP="007975BB">
      <w:pPr>
        <w:pStyle w:val="ListParagraph"/>
        <w:numPr>
          <w:ilvl w:val="0"/>
          <w:numId w:val="26"/>
        </w:numPr>
        <w:spacing w:line="240" w:lineRule="auto"/>
      </w:pPr>
      <w:r w:rsidRPr="004A2E1D">
        <w:t>Waste is mixed so as to compromise the necessary treatment of the added or received waste</w:t>
      </w:r>
    </w:p>
    <w:p w:rsidR="007975BB" w:rsidRPr="004A2E1D" w:rsidRDefault="007975BB" w:rsidP="007975BB">
      <w:pPr>
        <w:pStyle w:val="ListParagraph"/>
        <w:numPr>
          <w:ilvl w:val="0"/>
          <w:numId w:val="26"/>
        </w:numPr>
        <w:spacing w:line="240" w:lineRule="auto"/>
      </w:pPr>
      <w:r w:rsidRPr="004A2E1D">
        <w:t>Waste is mixed to reduce/hide the identify of wastes</w:t>
      </w:r>
    </w:p>
    <w:p w:rsidR="007975BB" w:rsidRPr="004A2E1D" w:rsidRDefault="007975BB" w:rsidP="007975BB">
      <w:pPr>
        <w:pStyle w:val="ListParagraph"/>
        <w:numPr>
          <w:ilvl w:val="0"/>
          <w:numId w:val="26"/>
        </w:numPr>
        <w:spacing w:line="240" w:lineRule="auto"/>
      </w:pPr>
      <w:r w:rsidRPr="004A2E1D">
        <w:t>It would prevent the recycling or recovery of the waste</w:t>
      </w:r>
    </w:p>
    <w:p w:rsidR="007975BB" w:rsidRPr="007975BB" w:rsidRDefault="007975BB" w:rsidP="007975BB">
      <w:pPr>
        <w:spacing w:line="240" w:lineRule="auto"/>
      </w:pPr>
      <w:r w:rsidRPr="007975BB">
        <w:t>All containers should be clearly labelled with:</w:t>
      </w:r>
    </w:p>
    <w:p w:rsidR="007975BB" w:rsidRPr="007975BB" w:rsidRDefault="007975BB" w:rsidP="007975BB">
      <w:pPr>
        <w:pStyle w:val="ListParagraph"/>
        <w:numPr>
          <w:ilvl w:val="0"/>
          <w:numId w:val="27"/>
        </w:numPr>
        <w:spacing w:line="240" w:lineRule="auto"/>
      </w:pPr>
      <w:r w:rsidRPr="007975BB">
        <w:t>The date of arrival</w:t>
      </w:r>
    </w:p>
    <w:p w:rsidR="007975BB" w:rsidRPr="007975BB" w:rsidRDefault="007975BB" w:rsidP="007975BB">
      <w:pPr>
        <w:pStyle w:val="ListParagraph"/>
        <w:numPr>
          <w:ilvl w:val="0"/>
          <w:numId w:val="27"/>
        </w:numPr>
        <w:spacing w:line="240" w:lineRule="auto"/>
      </w:pPr>
      <w:r w:rsidRPr="007975BB">
        <w:t>Relevant hazard codes</w:t>
      </w:r>
    </w:p>
    <w:p w:rsidR="000114D8" w:rsidRPr="007975BB" w:rsidRDefault="007975BB" w:rsidP="007975BB">
      <w:pPr>
        <w:pStyle w:val="ListParagraph"/>
        <w:numPr>
          <w:ilvl w:val="0"/>
          <w:numId w:val="27"/>
        </w:numPr>
        <w:spacing w:line="240" w:lineRule="auto"/>
      </w:pPr>
      <w:r w:rsidRPr="007975BB">
        <w:t>Chemical identity</w:t>
      </w:r>
    </w:p>
    <w:p w:rsidR="007975BB" w:rsidRPr="007975BB" w:rsidRDefault="007975BB" w:rsidP="007975BB">
      <w:pPr>
        <w:pStyle w:val="ListParagraph"/>
        <w:numPr>
          <w:ilvl w:val="0"/>
          <w:numId w:val="27"/>
        </w:numPr>
        <w:spacing w:line="240" w:lineRule="auto"/>
      </w:pPr>
      <w:r w:rsidRPr="007975BB">
        <w:t>Composition of the waste</w:t>
      </w:r>
    </w:p>
    <w:p w:rsidR="007975BB" w:rsidRPr="00DA1EC2" w:rsidRDefault="007975BB" w:rsidP="007975BB">
      <w:pPr>
        <w:pStyle w:val="ListParagraph"/>
        <w:numPr>
          <w:ilvl w:val="0"/>
          <w:numId w:val="27"/>
        </w:numPr>
        <w:spacing w:line="240" w:lineRule="auto"/>
        <w:rPr>
          <w:i/>
        </w:rPr>
      </w:pPr>
      <w:r w:rsidRPr="00DF5C11">
        <w:lastRenderedPageBreak/>
        <w:t>A unique reference number or code</w:t>
      </w:r>
    </w:p>
    <w:p w:rsidR="000114D8" w:rsidRPr="007975BB" w:rsidRDefault="007975BB" w:rsidP="005611EF">
      <w:pPr>
        <w:spacing w:line="240" w:lineRule="auto"/>
      </w:pPr>
      <w:r w:rsidRPr="007975BB">
        <w:t>Waste arriving at the installation will be labelled for transport according to the Carriage of Dangerous by Road and Rail Regulations 2004.</w:t>
      </w:r>
    </w:p>
    <w:p w:rsidR="007975BB" w:rsidRDefault="007975BB" w:rsidP="005611EF">
      <w:pPr>
        <w:spacing w:line="240" w:lineRule="auto"/>
        <w:rPr>
          <w:i/>
          <w:color w:val="7030A0"/>
        </w:rPr>
      </w:pPr>
      <w:r>
        <w:rPr>
          <w:i/>
          <w:color w:val="7030A0"/>
        </w:rPr>
        <w:t>Section 5: Combustible Wastes, page 36</w:t>
      </w:r>
    </w:p>
    <w:p w:rsidR="007975BB" w:rsidRDefault="007975BB" w:rsidP="005611EF">
      <w:pPr>
        <w:spacing w:line="240" w:lineRule="auto"/>
      </w:pPr>
      <w:r>
        <w:t>Safeguards for managing the storage of combustible waste include:</w:t>
      </w:r>
    </w:p>
    <w:p w:rsidR="007975BB" w:rsidRDefault="007975BB" w:rsidP="005611EF">
      <w:pPr>
        <w:pStyle w:val="ListParagraph"/>
        <w:numPr>
          <w:ilvl w:val="0"/>
          <w:numId w:val="28"/>
        </w:numPr>
        <w:spacing w:line="240" w:lineRule="auto"/>
      </w:pPr>
      <w:r>
        <w:t>Open external waste stacks should be separated from buildings by a gap of at least 10m.</w:t>
      </w:r>
    </w:p>
    <w:p w:rsidR="007975BB" w:rsidRPr="0027132D" w:rsidRDefault="007975BB" w:rsidP="005611EF">
      <w:pPr>
        <w:pStyle w:val="ListParagraph"/>
        <w:numPr>
          <w:ilvl w:val="0"/>
          <w:numId w:val="28"/>
        </w:numPr>
        <w:spacing w:line="240" w:lineRule="auto"/>
      </w:pPr>
      <w:r>
        <w:t>Taking into account any restrictions on amounts permitted and storage times in permit/licence.</w:t>
      </w:r>
    </w:p>
    <w:p w:rsidR="007975BB" w:rsidRPr="007975BB" w:rsidRDefault="007975BB" w:rsidP="005611EF">
      <w:pPr>
        <w:spacing w:line="240" w:lineRule="auto"/>
        <w:rPr>
          <w:szCs w:val="20"/>
        </w:rPr>
      </w:pPr>
      <w:r w:rsidRPr="007975BB">
        <w:rPr>
          <w:szCs w:val="20"/>
        </w:rPr>
        <w:t>The storage area drainage infrastructure should be designed to ensure that:</w:t>
      </w:r>
    </w:p>
    <w:p w:rsidR="007975BB" w:rsidRPr="007975BB" w:rsidRDefault="007975BB" w:rsidP="005611EF">
      <w:pPr>
        <w:pStyle w:val="ListParagraph"/>
        <w:numPr>
          <w:ilvl w:val="0"/>
          <w:numId w:val="29"/>
        </w:numPr>
        <w:spacing w:line="240" w:lineRule="auto"/>
        <w:rPr>
          <w:szCs w:val="20"/>
        </w:rPr>
      </w:pPr>
      <w:r w:rsidRPr="007975BB">
        <w:rPr>
          <w:szCs w:val="20"/>
        </w:rPr>
        <w:t>Incompatible wastes cannot come into contact</w:t>
      </w:r>
      <w:r>
        <w:rPr>
          <w:szCs w:val="20"/>
        </w:rPr>
        <w:t>.</w:t>
      </w:r>
    </w:p>
    <w:p w:rsidR="007975BB" w:rsidRPr="00DA1EC2" w:rsidRDefault="007975BB" w:rsidP="005611EF">
      <w:pPr>
        <w:pStyle w:val="ListParagraph"/>
        <w:numPr>
          <w:ilvl w:val="0"/>
          <w:numId w:val="29"/>
        </w:numPr>
        <w:spacing w:line="240" w:lineRule="auto"/>
        <w:rPr>
          <w:i/>
          <w:sz w:val="24"/>
        </w:rPr>
      </w:pPr>
      <w:r w:rsidRPr="00F0506F">
        <w:rPr>
          <w:szCs w:val="20"/>
        </w:rPr>
        <w:t>Fire cannot spread between storage/treatment areas</w:t>
      </w:r>
      <w:r w:rsidRPr="00950587">
        <w:rPr>
          <w:szCs w:val="20"/>
        </w:rPr>
        <w:t>.</w:t>
      </w:r>
    </w:p>
    <w:p w:rsidR="007975BB" w:rsidRPr="007975BB" w:rsidRDefault="007975BB" w:rsidP="005611EF">
      <w:pPr>
        <w:spacing w:line="240" w:lineRule="auto"/>
        <w:rPr>
          <w:i/>
          <w:color w:val="7030A0"/>
        </w:rPr>
      </w:pPr>
      <w:r w:rsidRPr="007975BB">
        <w:rPr>
          <w:i/>
          <w:color w:val="7030A0"/>
        </w:rPr>
        <w:t xml:space="preserve">Section 5: </w:t>
      </w:r>
      <w:r>
        <w:rPr>
          <w:i/>
          <w:color w:val="7030A0"/>
        </w:rPr>
        <w:t>Drainage</w:t>
      </w:r>
      <w:r w:rsidRPr="007975BB">
        <w:rPr>
          <w:i/>
          <w:color w:val="7030A0"/>
        </w:rPr>
        <w:t>, page 3</w:t>
      </w:r>
      <w:r>
        <w:rPr>
          <w:i/>
          <w:color w:val="7030A0"/>
        </w:rPr>
        <w:t>7</w:t>
      </w:r>
    </w:p>
    <w:p w:rsidR="007975BB" w:rsidRPr="004A2E1D" w:rsidRDefault="007975BB" w:rsidP="005611EF">
      <w:pPr>
        <w:spacing w:line="240" w:lineRule="auto"/>
      </w:pPr>
      <w:r w:rsidRPr="004A2E1D">
        <w:t>For rainwater entering drains and water courses, permeable surfaces reduce:</w:t>
      </w:r>
    </w:p>
    <w:p w:rsidR="007975BB" w:rsidRPr="004A2E1D" w:rsidRDefault="007975BB" w:rsidP="005611EF">
      <w:pPr>
        <w:pStyle w:val="ListParagraph"/>
        <w:numPr>
          <w:ilvl w:val="0"/>
          <w:numId w:val="30"/>
        </w:numPr>
        <w:spacing w:line="240" w:lineRule="auto"/>
      </w:pPr>
      <w:r w:rsidRPr="004A2E1D">
        <w:t>The total volume</w:t>
      </w:r>
    </w:p>
    <w:p w:rsidR="007975BB" w:rsidRPr="004A2E1D" w:rsidRDefault="007975BB" w:rsidP="005611EF">
      <w:pPr>
        <w:pStyle w:val="ListParagraph"/>
        <w:numPr>
          <w:ilvl w:val="0"/>
          <w:numId w:val="30"/>
        </w:numPr>
        <w:spacing w:line="240" w:lineRule="auto"/>
      </w:pPr>
      <w:r w:rsidRPr="004A2E1D">
        <w:t>The frequency</w:t>
      </w:r>
    </w:p>
    <w:p w:rsidR="007975BB" w:rsidRPr="004A2E1D" w:rsidRDefault="007975BB" w:rsidP="005611EF">
      <w:pPr>
        <w:pStyle w:val="ListParagraph"/>
        <w:numPr>
          <w:ilvl w:val="0"/>
          <w:numId w:val="30"/>
        </w:numPr>
        <w:spacing w:line="240" w:lineRule="auto"/>
      </w:pPr>
      <w:r w:rsidRPr="004A2E1D">
        <w:t>The peak flow rate</w:t>
      </w:r>
    </w:p>
    <w:p w:rsidR="000114D8" w:rsidRPr="007975BB" w:rsidRDefault="007975BB" w:rsidP="005611EF">
      <w:pPr>
        <w:spacing w:line="240" w:lineRule="auto"/>
      </w:pPr>
      <w:r w:rsidRPr="007975BB">
        <w:t>A drainage plan must show:</w:t>
      </w:r>
    </w:p>
    <w:p w:rsidR="007975BB" w:rsidRPr="007975BB" w:rsidRDefault="007975BB" w:rsidP="005611EF">
      <w:pPr>
        <w:pStyle w:val="ListParagraph"/>
        <w:numPr>
          <w:ilvl w:val="0"/>
          <w:numId w:val="31"/>
        </w:numPr>
        <w:spacing w:line="240" w:lineRule="auto"/>
      </w:pPr>
      <w:r w:rsidRPr="007975BB">
        <w:t>Foul and combined drainage facilities marked in red</w:t>
      </w:r>
    </w:p>
    <w:p w:rsidR="007975BB" w:rsidRPr="007975BB" w:rsidRDefault="007975BB" w:rsidP="005611EF">
      <w:pPr>
        <w:pStyle w:val="ListParagraph"/>
        <w:numPr>
          <w:ilvl w:val="0"/>
          <w:numId w:val="31"/>
        </w:numPr>
        <w:spacing w:line="240" w:lineRule="auto"/>
      </w:pPr>
      <w:r w:rsidRPr="007975BB">
        <w:t>Surface water drainage facilities marked in blue</w:t>
      </w:r>
    </w:p>
    <w:p w:rsidR="007975BB" w:rsidRPr="007975BB" w:rsidRDefault="007975BB" w:rsidP="005611EF">
      <w:pPr>
        <w:pStyle w:val="ListParagraph"/>
        <w:numPr>
          <w:ilvl w:val="0"/>
          <w:numId w:val="31"/>
        </w:numPr>
        <w:spacing w:line="240" w:lineRule="auto"/>
      </w:pPr>
      <w:r w:rsidRPr="007975BB">
        <w:t>The direction of water flow in the drain</w:t>
      </w:r>
    </w:p>
    <w:p w:rsidR="007975BB" w:rsidRPr="007975BB" w:rsidRDefault="007975BB" w:rsidP="005611EF">
      <w:pPr>
        <w:pStyle w:val="ListParagraph"/>
        <w:numPr>
          <w:ilvl w:val="0"/>
          <w:numId w:val="31"/>
        </w:numPr>
        <w:spacing w:line="240" w:lineRule="auto"/>
      </w:pPr>
      <w:r w:rsidRPr="007975BB">
        <w:t xml:space="preserve">The location of discharge points to the sewer, watercourse or </w:t>
      </w:r>
      <w:proofErr w:type="spellStart"/>
      <w:r w:rsidRPr="007975BB">
        <w:t>soakaway</w:t>
      </w:r>
      <w:proofErr w:type="spellEnd"/>
    </w:p>
    <w:p w:rsidR="007975BB" w:rsidRPr="007975BB" w:rsidRDefault="007975BB" w:rsidP="005611EF">
      <w:pPr>
        <w:pStyle w:val="ListParagraph"/>
        <w:numPr>
          <w:ilvl w:val="0"/>
          <w:numId w:val="31"/>
        </w:numPr>
        <w:spacing w:line="240" w:lineRule="auto"/>
      </w:pPr>
      <w:r w:rsidRPr="007975BB">
        <w:t>The location of manhole covers and drains</w:t>
      </w:r>
    </w:p>
    <w:p w:rsidR="007975BB" w:rsidRPr="007975BB" w:rsidRDefault="007975BB" w:rsidP="005611EF">
      <w:pPr>
        <w:pStyle w:val="ListParagraph"/>
        <w:numPr>
          <w:ilvl w:val="0"/>
          <w:numId w:val="31"/>
        </w:numPr>
        <w:spacing w:line="240" w:lineRule="auto"/>
        <w:rPr>
          <w:sz w:val="24"/>
        </w:rPr>
      </w:pPr>
      <w:r w:rsidRPr="007975BB">
        <w:t>The location of stop and diverter valves and interceptors</w:t>
      </w:r>
    </w:p>
    <w:p w:rsidR="007975BB" w:rsidRPr="007975BB" w:rsidRDefault="007975BB" w:rsidP="005611EF">
      <w:pPr>
        <w:spacing w:line="240" w:lineRule="auto"/>
        <w:rPr>
          <w:i/>
          <w:color w:val="7030A0"/>
        </w:rPr>
      </w:pPr>
      <w:r w:rsidRPr="007975BB">
        <w:rPr>
          <w:i/>
          <w:color w:val="7030A0"/>
        </w:rPr>
        <w:t xml:space="preserve">Section </w:t>
      </w:r>
      <w:r>
        <w:rPr>
          <w:i/>
          <w:color w:val="7030A0"/>
        </w:rPr>
        <w:t>6</w:t>
      </w:r>
      <w:r w:rsidRPr="007975BB">
        <w:rPr>
          <w:i/>
          <w:color w:val="7030A0"/>
        </w:rPr>
        <w:t xml:space="preserve">: </w:t>
      </w:r>
      <w:r>
        <w:rPr>
          <w:i/>
          <w:color w:val="7030A0"/>
        </w:rPr>
        <w:t>Causes</w:t>
      </w:r>
      <w:r w:rsidRPr="007975BB">
        <w:rPr>
          <w:i/>
          <w:color w:val="7030A0"/>
        </w:rPr>
        <w:t xml:space="preserve">, page </w:t>
      </w:r>
      <w:r>
        <w:rPr>
          <w:i/>
          <w:color w:val="7030A0"/>
        </w:rPr>
        <w:t>40</w:t>
      </w:r>
    </w:p>
    <w:p w:rsidR="005611EF" w:rsidRDefault="005611EF" w:rsidP="005611EF">
      <w:pPr>
        <w:spacing w:line="240" w:lineRule="auto"/>
        <w:rPr>
          <w:color w:val="000000" w:themeColor="text1"/>
        </w:rPr>
      </w:pPr>
      <w:r>
        <w:rPr>
          <w:color w:val="000000" w:themeColor="text1"/>
        </w:rPr>
        <w:t xml:space="preserve">A written management system must include a contingency plan that ensures impacts on the </w:t>
      </w:r>
      <w:r>
        <w:rPr>
          <w:color w:val="000000" w:themeColor="text1"/>
        </w:rPr>
        <w:lastRenderedPageBreak/>
        <w:t>environment are minimised (e.g. contaminated run-off from fire).</w:t>
      </w:r>
    </w:p>
    <w:p w:rsidR="005611EF" w:rsidRDefault="005611EF" w:rsidP="005611EF">
      <w:pPr>
        <w:spacing w:after="0" w:line="240" w:lineRule="auto"/>
        <w:rPr>
          <w:color w:val="000000" w:themeColor="text1"/>
        </w:rPr>
      </w:pPr>
    </w:p>
    <w:p w:rsidR="005611EF" w:rsidRPr="007975BB" w:rsidRDefault="005611EF" w:rsidP="005611EF">
      <w:pPr>
        <w:spacing w:line="240" w:lineRule="auto"/>
        <w:rPr>
          <w:i/>
          <w:color w:val="7030A0"/>
        </w:rPr>
      </w:pPr>
      <w:r w:rsidRPr="007975BB">
        <w:rPr>
          <w:i/>
          <w:color w:val="7030A0"/>
        </w:rPr>
        <w:t xml:space="preserve">Section </w:t>
      </w:r>
      <w:r>
        <w:rPr>
          <w:i/>
          <w:color w:val="7030A0"/>
        </w:rPr>
        <w:t>6</w:t>
      </w:r>
      <w:r w:rsidRPr="007975BB">
        <w:rPr>
          <w:i/>
          <w:color w:val="7030A0"/>
        </w:rPr>
        <w:t xml:space="preserve">: </w:t>
      </w:r>
      <w:r>
        <w:rPr>
          <w:i/>
          <w:color w:val="7030A0"/>
        </w:rPr>
        <w:t>Prevention and Accident Management Plans</w:t>
      </w:r>
      <w:r w:rsidRPr="007975BB">
        <w:rPr>
          <w:i/>
          <w:color w:val="7030A0"/>
        </w:rPr>
        <w:t xml:space="preserve">, page </w:t>
      </w:r>
      <w:r>
        <w:rPr>
          <w:i/>
          <w:color w:val="7030A0"/>
        </w:rPr>
        <w:t>41</w:t>
      </w:r>
    </w:p>
    <w:p w:rsidR="005611EF" w:rsidRPr="005611EF" w:rsidRDefault="005611EF" w:rsidP="005611EF">
      <w:pPr>
        <w:spacing w:line="240" w:lineRule="auto"/>
        <w:rPr>
          <w:b/>
          <w:color w:val="7030A0"/>
        </w:rPr>
      </w:pPr>
      <w:r w:rsidRPr="005611EF">
        <w:rPr>
          <w:b/>
          <w:color w:val="7030A0"/>
        </w:rPr>
        <w:t>Reducing Fire Risk</w:t>
      </w:r>
    </w:p>
    <w:p w:rsidR="005611EF" w:rsidRDefault="005611EF" w:rsidP="005611EF">
      <w:pPr>
        <w:pStyle w:val="ListParagraph"/>
        <w:numPr>
          <w:ilvl w:val="0"/>
          <w:numId w:val="32"/>
        </w:numPr>
        <w:spacing w:line="240" w:lineRule="auto"/>
        <w:rPr>
          <w:color w:val="000000" w:themeColor="text1"/>
        </w:rPr>
      </w:pPr>
      <w:r>
        <w:rPr>
          <w:color w:val="000000" w:themeColor="text1"/>
        </w:rPr>
        <w:t>Leaving a physical gap between stacks (also known as a fire break) so that fire is less likely to spread between stacks.</w:t>
      </w:r>
    </w:p>
    <w:p w:rsidR="005611EF" w:rsidRPr="00F07D48" w:rsidRDefault="005611EF" w:rsidP="005611EF">
      <w:pPr>
        <w:pStyle w:val="ListParagraph"/>
        <w:numPr>
          <w:ilvl w:val="0"/>
          <w:numId w:val="32"/>
        </w:numPr>
        <w:spacing w:line="240" w:lineRule="auto"/>
        <w:rPr>
          <w:color w:val="000000" w:themeColor="text1"/>
        </w:rPr>
      </w:pPr>
      <w:r>
        <w:rPr>
          <w:color w:val="000000" w:themeColor="text1"/>
        </w:rPr>
        <w:t>Placing a firewall (e.g. bunkering or enclosing stacks) between stacks to reduce the likelihood that fire will spread.</w:t>
      </w:r>
    </w:p>
    <w:p w:rsidR="005611EF" w:rsidRPr="005611EF" w:rsidRDefault="005611EF" w:rsidP="005611EF">
      <w:pPr>
        <w:spacing w:line="240" w:lineRule="auto"/>
        <w:rPr>
          <w:i/>
          <w:color w:val="7030A0"/>
        </w:rPr>
      </w:pPr>
      <w:r w:rsidRPr="005611EF">
        <w:rPr>
          <w:i/>
          <w:color w:val="7030A0"/>
        </w:rPr>
        <w:t xml:space="preserve">Section 6: </w:t>
      </w:r>
      <w:r>
        <w:rPr>
          <w:i/>
          <w:color w:val="7030A0"/>
        </w:rPr>
        <w:t>Non-compliance</w:t>
      </w:r>
      <w:r w:rsidRPr="005611EF">
        <w:rPr>
          <w:i/>
          <w:color w:val="7030A0"/>
        </w:rPr>
        <w:t>, page 4</w:t>
      </w:r>
      <w:r>
        <w:rPr>
          <w:i/>
          <w:color w:val="7030A0"/>
        </w:rPr>
        <w:t>2</w:t>
      </w:r>
    </w:p>
    <w:p w:rsidR="005611EF" w:rsidRDefault="005611EF" w:rsidP="005611EF">
      <w:pPr>
        <w:spacing w:line="240" w:lineRule="auto"/>
        <w:rPr>
          <w:color w:val="000000" w:themeColor="text1"/>
        </w:rPr>
      </w:pPr>
      <w:r>
        <w:rPr>
          <w:color w:val="000000" w:themeColor="text1"/>
        </w:rPr>
        <w:t>Non-compliance/non-conformance is any activity on a permitted waste site that does not meet the relevant permit condition or legislation.</w:t>
      </w:r>
    </w:p>
    <w:p w:rsidR="005611EF" w:rsidRDefault="005611EF" w:rsidP="005611EF">
      <w:pPr>
        <w:spacing w:line="240" w:lineRule="auto"/>
        <w:rPr>
          <w:color w:val="000000" w:themeColor="text1"/>
        </w:rPr>
      </w:pPr>
      <w:r>
        <w:rPr>
          <w:color w:val="000000" w:themeColor="text1"/>
        </w:rPr>
        <w:t>To deal with complaints, operators need a procedure that records:</w:t>
      </w:r>
    </w:p>
    <w:p w:rsidR="005611EF" w:rsidRDefault="005611EF" w:rsidP="005611EF">
      <w:pPr>
        <w:pStyle w:val="ListParagraph"/>
        <w:numPr>
          <w:ilvl w:val="0"/>
          <w:numId w:val="33"/>
        </w:numPr>
        <w:spacing w:line="240" w:lineRule="auto"/>
        <w:rPr>
          <w:color w:val="000000" w:themeColor="text1"/>
        </w:rPr>
      </w:pPr>
      <w:r>
        <w:rPr>
          <w:color w:val="000000" w:themeColor="text1"/>
        </w:rPr>
        <w:t>Any complaints received in relation to activities covered by the site permit (e.g. complaints about odour, noise or dust).</w:t>
      </w:r>
    </w:p>
    <w:p w:rsidR="005611EF" w:rsidRDefault="005611EF" w:rsidP="005611EF">
      <w:pPr>
        <w:pStyle w:val="ListParagraph"/>
        <w:numPr>
          <w:ilvl w:val="0"/>
          <w:numId w:val="33"/>
        </w:numPr>
        <w:spacing w:line="240" w:lineRule="auto"/>
        <w:rPr>
          <w:color w:val="000000" w:themeColor="text1"/>
        </w:rPr>
      </w:pPr>
      <w:r>
        <w:rPr>
          <w:color w:val="000000" w:themeColor="text1"/>
        </w:rPr>
        <w:t>How these complaints are investigated.</w:t>
      </w:r>
    </w:p>
    <w:p w:rsidR="005611EF" w:rsidRPr="00923EBC" w:rsidRDefault="005611EF" w:rsidP="005611EF">
      <w:pPr>
        <w:pStyle w:val="ListParagraph"/>
        <w:numPr>
          <w:ilvl w:val="0"/>
          <w:numId w:val="33"/>
        </w:numPr>
        <w:spacing w:line="240" w:lineRule="auto"/>
        <w:rPr>
          <w:color w:val="000000" w:themeColor="text1"/>
        </w:rPr>
      </w:pPr>
      <w:r>
        <w:rPr>
          <w:color w:val="000000" w:themeColor="text1"/>
        </w:rPr>
        <w:t>Any actions taken as a result of complaints.</w:t>
      </w:r>
    </w:p>
    <w:p w:rsidR="005611EF" w:rsidRDefault="005611EF" w:rsidP="005611EF">
      <w:pPr>
        <w:spacing w:line="240" w:lineRule="auto"/>
        <w:rPr>
          <w:i/>
          <w:color w:val="7030A0"/>
        </w:rPr>
      </w:pPr>
      <w:r w:rsidRPr="005611EF">
        <w:rPr>
          <w:i/>
          <w:color w:val="7030A0"/>
        </w:rPr>
        <w:t xml:space="preserve">Section </w:t>
      </w:r>
      <w:r>
        <w:rPr>
          <w:i/>
          <w:color w:val="7030A0"/>
        </w:rPr>
        <w:t>7</w:t>
      </w:r>
      <w:r w:rsidRPr="005611EF">
        <w:rPr>
          <w:i/>
          <w:color w:val="7030A0"/>
        </w:rPr>
        <w:t xml:space="preserve">: </w:t>
      </w:r>
      <w:r>
        <w:rPr>
          <w:i/>
          <w:color w:val="7030A0"/>
        </w:rPr>
        <w:t>Training</w:t>
      </w:r>
      <w:r w:rsidRPr="005611EF">
        <w:rPr>
          <w:i/>
          <w:color w:val="7030A0"/>
        </w:rPr>
        <w:t>, page 4</w:t>
      </w:r>
      <w:r>
        <w:rPr>
          <w:i/>
          <w:color w:val="7030A0"/>
        </w:rPr>
        <w:t>6</w:t>
      </w:r>
    </w:p>
    <w:p w:rsidR="005611EF" w:rsidRPr="005611EF" w:rsidRDefault="005611EF" w:rsidP="005611EF">
      <w:pPr>
        <w:spacing w:line="240" w:lineRule="auto"/>
        <w:rPr>
          <w:i/>
          <w:color w:val="7030A0"/>
          <w:sz w:val="24"/>
        </w:rPr>
      </w:pPr>
      <w:r w:rsidRPr="005611EF">
        <w:t xml:space="preserve">The Health and Safety at Work </w:t>
      </w:r>
      <w:proofErr w:type="spellStart"/>
      <w:r w:rsidRPr="005611EF">
        <w:t>etc</w:t>
      </w:r>
      <w:proofErr w:type="spellEnd"/>
      <w:r w:rsidRPr="005611EF">
        <w:t xml:space="preserve"> Act 1974 requires employers to provide whatever information, instruction, training and supervision is necessary to ensure, so far as reasonably practicable, the health and safety of employees.</w:t>
      </w:r>
    </w:p>
    <w:p w:rsidR="005611EF" w:rsidRDefault="005611EF" w:rsidP="005611EF">
      <w:pPr>
        <w:spacing w:line="240" w:lineRule="auto"/>
        <w:rPr>
          <w:i/>
          <w:color w:val="7030A0"/>
        </w:rPr>
      </w:pPr>
      <w:r w:rsidRPr="005611EF">
        <w:rPr>
          <w:i/>
          <w:color w:val="7030A0"/>
        </w:rPr>
        <w:t xml:space="preserve">Section </w:t>
      </w:r>
      <w:r>
        <w:rPr>
          <w:i/>
          <w:color w:val="7030A0"/>
        </w:rPr>
        <w:t>7</w:t>
      </w:r>
      <w:r w:rsidRPr="005611EF">
        <w:rPr>
          <w:i/>
          <w:color w:val="7030A0"/>
        </w:rPr>
        <w:t xml:space="preserve">: </w:t>
      </w:r>
      <w:r>
        <w:rPr>
          <w:i/>
          <w:color w:val="7030A0"/>
        </w:rPr>
        <w:t>Health Surveillance</w:t>
      </w:r>
      <w:r w:rsidRPr="005611EF">
        <w:rPr>
          <w:i/>
          <w:color w:val="7030A0"/>
        </w:rPr>
        <w:t>, page 4</w:t>
      </w:r>
      <w:r>
        <w:rPr>
          <w:i/>
          <w:color w:val="7030A0"/>
        </w:rPr>
        <w:t>7</w:t>
      </w:r>
    </w:p>
    <w:p w:rsidR="005611EF" w:rsidRPr="005611EF" w:rsidRDefault="005611EF" w:rsidP="005611EF">
      <w:pPr>
        <w:spacing w:line="240" w:lineRule="auto"/>
        <w:rPr>
          <w:color w:val="000000" w:themeColor="text1"/>
          <w:sz w:val="24"/>
        </w:rPr>
      </w:pPr>
      <w:r w:rsidRPr="005611EF">
        <w:rPr>
          <w:b/>
        </w:rPr>
        <w:t>Infectious waste</w:t>
      </w:r>
      <w:r w:rsidRPr="005611EF">
        <w:t xml:space="preserve"> contains micro-organisms or toxins which are known or believed to cause diseases.</w:t>
      </w:r>
      <w:r w:rsidRPr="005611EF">
        <w:rPr>
          <w:noProof/>
        </w:rPr>
        <w:t xml:space="preserve"> </w:t>
      </w:r>
    </w:p>
    <w:p w:rsidR="00F9256E" w:rsidRDefault="00F9256E" w:rsidP="00972763"/>
    <w:p w:rsidR="007975BB" w:rsidRDefault="007975BB" w:rsidP="00972763">
      <w:pPr>
        <w:sectPr w:rsidR="007975BB" w:rsidSect="00033393">
          <w:headerReference w:type="default" r:id="rId9"/>
          <w:footerReference w:type="default" r:id="rId10"/>
          <w:pgSz w:w="11906" w:h="16838"/>
          <w:pgMar w:top="1440" w:right="1440" w:bottom="1440" w:left="1440" w:header="708" w:footer="708" w:gutter="0"/>
          <w:cols w:num="2" w:space="708"/>
          <w:docGrid w:linePitch="360"/>
        </w:sectPr>
      </w:pPr>
    </w:p>
    <w:p w:rsidR="009B5506" w:rsidRDefault="009B5506" w:rsidP="009253D5">
      <w:pPr>
        <w:spacing w:before="240" w:after="0"/>
        <w:rPr>
          <w:i/>
          <w:color w:val="7030A0"/>
        </w:rPr>
      </w:pPr>
    </w:p>
    <w:p w:rsidR="00C02BF3" w:rsidRPr="00C02BF3" w:rsidRDefault="00C02BF3" w:rsidP="008B226E">
      <w:pPr>
        <w:spacing w:after="0"/>
        <w:rPr>
          <w:i/>
          <w:color w:val="7030A0"/>
        </w:rPr>
      </w:pPr>
      <w:r>
        <w:rPr>
          <w:i/>
          <w:color w:val="7030A0"/>
        </w:rPr>
        <w:t>Revised List of Sources</w:t>
      </w:r>
    </w:p>
    <w:tbl>
      <w:tblPr>
        <w:tblStyle w:val="TableGrid"/>
        <w:tblW w:w="5000" w:type="pct"/>
        <w:tblLayout w:type="fixed"/>
        <w:tblLook w:val="04A0" w:firstRow="1" w:lastRow="0" w:firstColumn="1" w:lastColumn="0" w:noHBand="0" w:noVBand="1"/>
      </w:tblPr>
      <w:tblGrid>
        <w:gridCol w:w="817"/>
        <w:gridCol w:w="3558"/>
      </w:tblGrid>
      <w:tr w:rsidR="005611EF" w:rsidRPr="008B226E" w:rsidTr="008B226E">
        <w:tc>
          <w:tcPr>
            <w:tcW w:w="934" w:type="pct"/>
            <w:shd w:val="clear" w:color="auto" w:fill="7030A0"/>
          </w:tcPr>
          <w:p w:rsidR="005611EF" w:rsidRPr="008B226E" w:rsidRDefault="005611EF" w:rsidP="008B226E">
            <w:pPr>
              <w:rPr>
                <w:b/>
                <w:color w:val="FFFFFF" w:themeColor="background1"/>
              </w:rPr>
            </w:pPr>
            <w:r w:rsidRPr="008B226E">
              <w:rPr>
                <w:b/>
                <w:color w:val="FFFFFF" w:themeColor="background1"/>
              </w:rPr>
              <w:t>Page</w:t>
            </w:r>
          </w:p>
        </w:tc>
        <w:tc>
          <w:tcPr>
            <w:tcW w:w="4066" w:type="pct"/>
            <w:shd w:val="clear" w:color="auto" w:fill="7030A0"/>
          </w:tcPr>
          <w:p w:rsidR="005611EF" w:rsidRPr="008B226E" w:rsidRDefault="005611EF" w:rsidP="008B226E">
            <w:pPr>
              <w:rPr>
                <w:b/>
                <w:color w:val="FFFFFF" w:themeColor="background1"/>
              </w:rPr>
            </w:pPr>
            <w:r w:rsidRPr="008B226E">
              <w:rPr>
                <w:b/>
                <w:color w:val="FFFFFF" w:themeColor="background1"/>
              </w:rPr>
              <w:t>Source</w:t>
            </w:r>
          </w:p>
        </w:tc>
      </w:tr>
      <w:tr w:rsidR="005611EF" w:rsidRPr="008B226E" w:rsidTr="008B226E">
        <w:tc>
          <w:tcPr>
            <w:tcW w:w="934" w:type="pct"/>
          </w:tcPr>
          <w:p w:rsidR="005611EF" w:rsidRPr="008B226E" w:rsidRDefault="005611EF" w:rsidP="008B226E">
            <w:r w:rsidRPr="008B226E">
              <w:t>13,34,48</w:t>
            </w:r>
          </w:p>
        </w:tc>
        <w:tc>
          <w:tcPr>
            <w:tcW w:w="4066" w:type="pct"/>
          </w:tcPr>
          <w:p w:rsidR="005611EF" w:rsidRPr="008B226E" w:rsidRDefault="00B707B0" w:rsidP="008B226E">
            <w:hyperlink r:id="rId11" w:history="1">
              <w:r w:rsidR="005611EF" w:rsidRPr="008B226E">
                <w:rPr>
                  <w:rStyle w:val="Hyperlink"/>
                </w:rPr>
                <w:t>Environment Agency (2015) Waste Classification – Technical Guidance WM3</w:t>
              </w:r>
            </w:hyperlink>
          </w:p>
        </w:tc>
      </w:tr>
      <w:tr w:rsidR="005611EF" w:rsidRPr="008B226E" w:rsidTr="008B226E">
        <w:tc>
          <w:tcPr>
            <w:tcW w:w="934" w:type="pct"/>
          </w:tcPr>
          <w:p w:rsidR="005611EF" w:rsidRPr="008B226E" w:rsidRDefault="005611EF" w:rsidP="008B226E">
            <w:r w:rsidRPr="008B226E">
              <w:t>14</w:t>
            </w:r>
          </w:p>
        </w:tc>
        <w:tc>
          <w:tcPr>
            <w:tcW w:w="4066" w:type="pct"/>
          </w:tcPr>
          <w:p w:rsidR="005611EF" w:rsidRPr="008B226E" w:rsidRDefault="00B707B0" w:rsidP="008B226E">
            <w:hyperlink r:id="rId12" w:history="1">
              <w:proofErr w:type="spellStart"/>
              <w:r w:rsidR="005611EF" w:rsidRPr="008B226E">
                <w:rPr>
                  <w:rStyle w:val="Hyperlink"/>
                </w:rPr>
                <w:t>Defra</w:t>
              </w:r>
              <w:proofErr w:type="spellEnd"/>
              <w:r w:rsidR="005611EF" w:rsidRPr="008B226E">
                <w:rPr>
                  <w:rStyle w:val="Hyperlink"/>
                </w:rPr>
                <w:t xml:space="preserve"> (2011) Guidance on applying the waste hierarchy</w:t>
              </w:r>
            </w:hyperlink>
          </w:p>
        </w:tc>
      </w:tr>
      <w:tr w:rsidR="005611EF" w:rsidRPr="008B226E" w:rsidTr="008B226E">
        <w:tc>
          <w:tcPr>
            <w:tcW w:w="934" w:type="pct"/>
          </w:tcPr>
          <w:p w:rsidR="005611EF" w:rsidRPr="008B226E" w:rsidRDefault="005611EF" w:rsidP="008B226E">
            <w:r w:rsidRPr="008B226E">
              <w:t>13,15</w:t>
            </w:r>
          </w:p>
        </w:tc>
        <w:tc>
          <w:tcPr>
            <w:tcW w:w="4066" w:type="pct"/>
          </w:tcPr>
          <w:p w:rsidR="005611EF" w:rsidRPr="008B226E" w:rsidRDefault="00B707B0" w:rsidP="008B226E">
            <w:hyperlink r:id="rId13" w:history="1">
              <w:r w:rsidR="005611EF" w:rsidRPr="008B226E">
                <w:rPr>
                  <w:rStyle w:val="Hyperlink"/>
                </w:rPr>
                <w:t>Environment Agency (2010) Waste acceptance at landfills</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13</w:t>
            </w:r>
          </w:p>
        </w:tc>
        <w:tc>
          <w:tcPr>
            <w:tcW w:w="4066" w:type="pct"/>
          </w:tcPr>
          <w:p w:rsidR="005611EF" w:rsidRPr="008B226E" w:rsidRDefault="00B707B0" w:rsidP="008B226E">
            <w:pPr>
              <w:rPr>
                <w:color w:val="943634" w:themeColor="accent2" w:themeShade="BF"/>
              </w:rPr>
            </w:pPr>
            <w:hyperlink r:id="rId14" w:history="1">
              <w:r w:rsidR="005611EF" w:rsidRPr="008B226E">
                <w:rPr>
                  <w:rStyle w:val="Hyperlink"/>
                </w:rPr>
                <w:t>Natural Resources Wales (2019) How to classify and assess waste</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15,</w:t>
            </w:r>
          </w:p>
        </w:tc>
        <w:tc>
          <w:tcPr>
            <w:tcW w:w="4066" w:type="pct"/>
          </w:tcPr>
          <w:p w:rsidR="005611EF" w:rsidRPr="008B226E" w:rsidRDefault="00B707B0" w:rsidP="008B226E">
            <w:pPr>
              <w:rPr>
                <w:color w:val="943634" w:themeColor="accent2" w:themeShade="BF"/>
              </w:rPr>
            </w:pPr>
            <w:hyperlink r:id="rId15" w:history="1">
              <w:r w:rsidR="005611EF" w:rsidRPr="008B226E">
                <w:rPr>
                  <w:rStyle w:val="Hyperlink"/>
                </w:rPr>
                <w:t>Natural Resources Wales (2014) Understanding the landfill directive</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18</w:t>
            </w:r>
          </w:p>
        </w:tc>
        <w:tc>
          <w:tcPr>
            <w:tcW w:w="4066" w:type="pct"/>
          </w:tcPr>
          <w:p w:rsidR="005611EF" w:rsidRPr="008B226E" w:rsidRDefault="00B707B0" w:rsidP="008B226E">
            <w:hyperlink r:id="rId16" w:history="1">
              <w:r w:rsidR="005611EF" w:rsidRPr="008B226E">
                <w:rPr>
                  <w:rStyle w:val="Hyperlink"/>
                </w:rPr>
                <w:t>Environment Agency (2018) Hazardous waste: consignment note</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18,</w:t>
            </w:r>
          </w:p>
        </w:tc>
        <w:tc>
          <w:tcPr>
            <w:tcW w:w="4066" w:type="pct"/>
          </w:tcPr>
          <w:p w:rsidR="005611EF" w:rsidRPr="008B226E" w:rsidRDefault="00B707B0" w:rsidP="008B226E">
            <w:pPr>
              <w:rPr>
                <w:color w:val="943634" w:themeColor="accent2" w:themeShade="BF"/>
              </w:rPr>
            </w:pPr>
            <w:hyperlink r:id="rId17" w:history="1">
              <w:r w:rsidR="005611EF" w:rsidRPr="008B226E">
                <w:rPr>
                  <w:rStyle w:val="Hyperlink"/>
                </w:rPr>
                <w:t>Natural Resources Wales (2019) Moving hazardous waste</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19</w:t>
            </w:r>
          </w:p>
        </w:tc>
        <w:tc>
          <w:tcPr>
            <w:tcW w:w="4066" w:type="pct"/>
          </w:tcPr>
          <w:p w:rsidR="005611EF" w:rsidRPr="008B226E" w:rsidRDefault="00B707B0" w:rsidP="008B226E">
            <w:pPr>
              <w:rPr>
                <w:color w:val="943634" w:themeColor="accent2" w:themeShade="BF"/>
              </w:rPr>
            </w:pPr>
            <w:hyperlink r:id="rId18" w:anchor="rejecting-waste-reasons" w:history="1">
              <w:r w:rsidR="005611EF" w:rsidRPr="008B226E">
                <w:rPr>
                  <w:rStyle w:val="Hyperlink"/>
                </w:rPr>
                <w:t>Environment Agency (2018) Hazardous waste: rejected loads guidance</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19</w:t>
            </w:r>
          </w:p>
        </w:tc>
        <w:tc>
          <w:tcPr>
            <w:tcW w:w="4066" w:type="pct"/>
          </w:tcPr>
          <w:p w:rsidR="005611EF" w:rsidRPr="008B226E" w:rsidRDefault="00B707B0" w:rsidP="008B226E">
            <w:pPr>
              <w:rPr>
                <w:color w:val="943634" w:themeColor="accent2" w:themeShade="BF"/>
              </w:rPr>
            </w:pPr>
            <w:hyperlink r:id="rId19" w:history="1">
              <w:r w:rsidR="005611EF" w:rsidRPr="008B226E">
                <w:rPr>
                  <w:rStyle w:val="Hyperlink"/>
                </w:rPr>
                <w:t>Environment Agency (2019) Hazardous waste: example Part A consignment note</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20</w:t>
            </w:r>
          </w:p>
        </w:tc>
        <w:tc>
          <w:tcPr>
            <w:tcW w:w="4066" w:type="pct"/>
          </w:tcPr>
          <w:p w:rsidR="005611EF" w:rsidRPr="008B226E" w:rsidRDefault="00B707B0" w:rsidP="008B226E">
            <w:hyperlink r:id="rId20" w:history="1">
              <w:r w:rsidR="005611EF" w:rsidRPr="008B226E">
                <w:rPr>
                  <w:rStyle w:val="Hyperlink"/>
                </w:rPr>
                <w:t>GOV.UK (2019) Hazardous Waste</w:t>
              </w:r>
            </w:hyperlink>
          </w:p>
        </w:tc>
      </w:tr>
      <w:tr w:rsidR="005611EF" w:rsidRPr="008B226E" w:rsidTr="008B226E">
        <w:tc>
          <w:tcPr>
            <w:tcW w:w="934" w:type="pct"/>
          </w:tcPr>
          <w:p w:rsidR="005611EF" w:rsidRPr="008B226E" w:rsidRDefault="005611EF" w:rsidP="008B226E">
            <w:r w:rsidRPr="008B226E">
              <w:t>20</w:t>
            </w:r>
          </w:p>
        </w:tc>
        <w:tc>
          <w:tcPr>
            <w:tcW w:w="4066" w:type="pct"/>
          </w:tcPr>
          <w:p w:rsidR="005611EF" w:rsidRPr="008B226E" w:rsidRDefault="00B707B0" w:rsidP="008B226E">
            <w:pPr>
              <w:rPr>
                <w:color w:val="943634" w:themeColor="accent2" w:themeShade="BF"/>
              </w:rPr>
            </w:pPr>
            <w:hyperlink r:id="rId21" w:history="1">
              <w:r w:rsidR="005611EF" w:rsidRPr="008B226E">
                <w:rPr>
                  <w:rStyle w:val="Hyperlink"/>
                </w:rPr>
                <w:t>Natural Resources Wales (2019) Hazardous waste returns</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21,24,29,32,35,36,37,40,41,42</w:t>
            </w:r>
          </w:p>
        </w:tc>
        <w:tc>
          <w:tcPr>
            <w:tcW w:w="4066" w:type="pct"/>
          </w:tcPr>
          <w:p w:rsidR="005611EF" w:rsidRPr="008B226E" w:rsidRDefault="00B707B0" w:rsidP="008B226E">
            <w:pPr>
              <w:rPr>
                <w:color w:val="943634" w:themeColor="accent2" w:themeShade="BF"/>
              </w:rPr>
            </w:pPr>
            <w:hyperlink r:id="rId22" w:history="1">
              <w:r w:rsidR="005611EF" w:rsidRPr="008B226E">
                <w:rPr>
                  <w:rStyle w:val="Hyperlink"/>
                </w:rPr>
                <w:t>Natural Resources Wales (2014) How to comply with your environmental permit</w:t>
              </w:r>
            </w:hyperlink>
          </w:p>
        </w:tc>
      </w:tr>
      <w:tr w:rsidR="005611EF" w:rsidRPr="008B226E" w:rsidTr="008B226E">
        <w:tc>
          <w:tcPr>
            <w:tcW w:w="934" w:type="pct"/>
          </w:tcPr>
          <w:p w:rsidR="005611EF" w:rsidRPr="008B226E" w:rsidRDefault="005611EF" w:rsidP="008B226E">
            <w:r w:rsidRPr="008B226E">
              <w:t>21,29,37,40,41,42</w:t>
            </w:r>
          </w:p>
        </w:tc>
        <w:tc>
          <w:tcPr>
            <w:tcW w:w="4066" w:type="pct"/>
          </w:tcPr>
          <w:p w:rsidR="005611EF" w:rsidRPr="008B226E" w:rsidRDefault="00B707B0" w:rsidP="008B226E">
            <w:pPr>
              <w:rPr>
                <w:color w:val="943634" w:themeColor="accent2" w:themeShade="BF"/>
              </w:rPr>
            </w:pPr>
            <w:hyperlink r:id="rId23" w:history="1">
              <w:r w:rsidR="005611EF" w:rsidRPr="008B226E">
                <w:rPr>
                  <w:rStyle w:val="Hyperlink"/>
                </w:rPr>
                <w:t>Environment Agency (2019) Develop a management system: environmental permits</w:t>
              </w:r>
            </w:hyperlink>
            <w:r w:rsidR="005611EF" w:rsidRPr="008B226E">
              <w:t xml:space="preserve"> </w:t>
            </w:r>
          </w:p>
        </w:tc>
      </w:tr>
      <w:tr w:rsidR="005611EF" w:rsidRPr="008B226E" w:rsidTr="008B226E">
        <w:tc>
          <w:tcPr>
            <w:tcW w:w="934" w:type="pct"/>
          </w:tcPr>
          <w:p w:rsidR="005611EF" w:rsidRPr="008B226E" w:rsidRDefault="005611EF" w:rsidP="008B226E">
            <w:r w:rsidRPr="008B226E">
              <w:t>24,29,33,34,35,36,37</w:t>
            </w:r>
          </w:p>
        </w:tc>
        <w:tc>
          <w:tcPr>
            <w:tcW w:w="4066" w:type="pct"/>
          </w:tcPr>
          <w:p w:rsidR="005611EF" w:rsidRPr="008B226E" w:rsidRDefault="00B707B0" w:rsidP="008B226E">
            <w:hyperlink r:id="rId24" w:history="1">
              <w:r w:rsidR="005611EF" w:rsidRPr="008B226E">
                <w:rPr>
                  <w:rStyle w:val="Hyperlink"/>
                </w:rPr>
                <w:t>Environment Agency (2004) Recovery and disposal of hazardous and non-hazardous waste</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24</w:t>
            </w:r>
          </w:p>
        </w:tc>
        <w:tc>
          <w:tcPr>
            <w:tcW w:w="4066" w:type="pct"/>
          </w:tcPr>
          <w:p w:rsidR="005611EF" w:rsidRPr="008B226E" w:rsidRDefault="00B707B0" w:rsidP="008B226E">
            <w:pPr>
              <w:rPr>
                <w:color w:val="943634" w:themeColor="accent2" w:themeShade="BF"/>
              </w:rPr>
            </w:pPr>
            <w:hyperlink r:id="rId25" w:history="1">
              <w:r w:rsidR="005611EF" w:rsidRPr="008B226E">
                <w:rPr>
                  <w:rStyle w:val="Hyperlink"/>
                </w:rPr>
                <w:t>Environment Agency (2018) Waste duty of care code of practice</w:t>
              </w:r>
            </w:hyperlink>
            <w:r w:rsidR="005611EF" w:rsidRPr="008B226E">
              <w:t xml:space="preserve"> </w:t>
            </w:r>
          </w:p>
        </w:tc>
      </w:tr>
      <w:tr w:rsidR="005611EF" w:rsidRPr="008B226E" w:rsidTr="008B226E">
        <w:tc>
          <w:tcPr>
            <w:tcW w:w="934" w:type="pct"/>
            <w:tcBorders>
              <w:bottom w:val="single" w:sz="4" w:space="0" w:color="auto"/>
            </w:tcBorders>
          </w:tcPr>
          <w:p w:rsidR="005611EF" w:rsidRPr="008B226E" w:rsidRDefault="005611EF" w:rsidP="008B226E">
            <w:r w:rsidRPr="008B226E">
              <w:t>27,28,40,41</w:t>
            </w:r>
          </w:p>
        </w:tc>
        <w:tc>
          <w:tcPr>
            <w:tcW w:w="4066" w:type="pct"/>
            <w:tcBorders>
              <w:bottom w:val="single" w:sz="4" w:space="0" w:color="auto"/>
            </w:tcBorders>
          </w:tcPr>
          <w:p w:rsidR="005611EF" w:rsidRPr="008B226E" w:rsidRDefault="00B707B0" w:rsidP="008B226E">
            <w:pPr>
              <w:rPr>
                <w:b/>
              </w:rPr>
            </w:pPr>
            <w:hyperlink r:id="rId26" w:history="1">
              <w:r w:rsidR="005611EF" w:rsidRPr="008B226E">
                <w:rPr>
                  <w:rStyle w:val="Hyperlink"/>
                </w:rPr>
                <w:t>Environment Agency (2013) How to comply with your environmental permit</w:t>
              </w:r>
            </w:hyperlink>
            <w:r w:rsidR="005611EF" w:rsidRPr="008B226E">
              <w:rPr>
                <w:color w:val="7030A0"/>
              </w:rPr>
              <w:t xml:space="preserve"> </w:t>
            </w:r>
          </w:p>
        </w:tc>
      </w:tr>
      <w:tr w:rsidR="005611EF" w:rsidRPr="008B226E" w:rsidTr="008B226E">
        <w:tc>
          <w:tcPr>
            <w:tcW w:w="934" w:type="pct"/>
            <w:tcBorders>
              <w:bottom w:val="nil"/>
            </w:tcBorders>
          </w:tcPr>
          <w:p w:rsidR="005611EF" w:rsidRPr="008B226E" w:rsidRDefault="005611EF" w:rsidP="008B226E">
            <w:r w:rsidRPr="008B226E">
              <w:t>28</w:t>
            </w:r>
          </w:p>
        </w:tc>
        <w:tc>
          <w:tcPr>
            <w:tcW w:w="4066" w:type="pct"/>
            <w:tcBorders>
              <w:bottom w:val="nil"/>
            </w:tcBorders>
          </w:tcPr>
          <w:p w:rsidR="005611EF" w:rsidRDefault="00B707B0" w:rsidP="008B226E">
            <w:hyperlink r:id="rId27" w:history="1">
              <w:r w:rsidR="005611EF" w:rsidRPr="008B226E">
                <w:rPr>
                  <w:rStyle w:val="Hyperlink"/>
                </w:rPr>
                <w:t>Environment Agency (2011) Consignment notes: rejected consignments and movements by pipelines, ships, cross-border movements and carrier schedules</w:t>
              </w:r>
            </w:hyperlink>
            <w:r w:rsidR="005611EF" w:rsidRPr="008B226E">
              <w:t xml:space="preserve"> </w:t>
            </w:r>
          </w:p>
          <w:p w:rsidR="008B226E" w:rsidRPr="008B226E" w:rsidRDefault="008B226E" w:rsidP="008B226E">
            <w:pPr>
              <w:rPr>
                <w:color w:val="943634" w:themeColor="accent2" w:themeShade="BF"/>
              </w:rPr>
            </w:pPr>
          </w:p>
        </w:tc>
      </w:tr>
      <w:tr w:rsidR="008B226E" w:rsidRPr="008B226E" w:rsidTr="008B226E">
        <w:tc>
          <w:tcPr>
            <w:tcW w:w="934" w:type="pct"/>
            <w:tcBorders>
              <w:top w:val="nil"/>
              <w:left w:val="nil"/>
              <w:bottom w:val="nil"/>
              <w:right w:val="nil"/>
            </w:tcBorders>
          </w:tcPr>
          <w:p w:rsidR="008B226E" w:rsidRPr="008B226E" w:rsidRDefault="008B226E" w:rsidP="008B226E"/>
        </w:tc>
        <w:tc>
          <w:tcPr>
            <w:tcW w:w="4066" w:type="pct"/>
            <w:tcBorders>
              <w:top w:val="nil"/>
              <w:left w:val="nil"/>
              <w:bottom w:val="nil"/>
              <w:right w:val="nil"/>
            </w:tcBorders>
          </w:tcPr>
          <w:p w:rsidR="008B226E" w:rsidRPr="008B226E" w:rsidRDefault="008B226E" w:rsidP="008B226E"/>
        </w:tc>
      </w:tr>
      <w:tr w:rsidR="008B226E" w:rsidRPr="008B226E" w:rsidTr="008B226E">
        <w:tc>
          <w:tcPr>
            <w:tcW w:w="934" w:type="pct"/>
            <w:tcBorders>
              <w:top w:val="nil"/>
              <w:left w:val="nil"/>
              <w:bottom w:val="single" w:sz="4" w:space="0" w:color="auto"/>
              <w:right w:val="nil"/>
            </w:tcBorders>
          </w:tcPr>
          <w:p w:rsidR="008B226E" w:rsidRPr="008B226E" w:rsidRDefault="008B226E" w:rsidP="008B226E"/>
        </w:tc>
        <w:tc>
          <w:tcPr>
            <w:tcW w:w="4066" w:type="pct"/>
            <w:tcBorders>
              <w:top w:val="nil"/>
              <w:left w:val="nil"/>
              <w:bottom w:val="single" w:sz="4" w:space="0" w:color="auto"/>
              <w:right w:val="nil"/>
            </w:tcBorders>
          </w:tcPr>
          <w:p w:rsidR="008B226E" w:rsidRPr="008B226E" w:rsidRDefault="008B226E" w:rsidP="008B226E">
            <w:pPr>
              <w:rPr>
                <w:sz w:val="32"/>
              </w:rPr>
            </w:pPr>
          </w:p>
        </w:tc>
      </w:tr>
      <w:tr w:rsidR="005611EF" w:rsidRPr="008B226E" w:rsidTr="008B226E">
        <w:tc>
          <w:tcPr>
            <w:tcW w:w="934" w:type="pct"/>
            <w:tcBorders>
              <w:top w:val="single" w:sz="4" w:space="0" w:color="auto"/>
            </w:tcBorders>
          </w:tcPr>
          <w:p w:rsidR="005611EF" w:rsidRPr="008B226E" w:rsidRDefault="005611EF" w:rsidP="008B226E">
            <w:r w:rsidRPr="008B226E">
              <w:t>28</w:t>
            </w:r>
          </w:p>
        </w:tc>
        <w:tc>
          <w:tcPr>
            <w:tcW w:w="4066" w:type="pct"/>
            <w:tcBorders>
              <w:top w:val="single" w:sz="4" w:space="0" w:color="auto"/>
            </w:tcBorders>
          </w:tcPr>
          <w:p w:rsidR="005611EF" w:rsidRPr="008B226E" w:rsidRDefault="00B707B0" w:rsidP="008B226E">
            <w:pPr>
              <w:rPr>
                <w:color w:val="943634" w:themeColor="accent2" w:themeShade="BF"/>
              </w:rPr>
            </w:pPr>
            <w:hyperlink r:id="rId28" w:history="1">
              <w:r w:rsidR="005611EF" w:rsidRPr="008B226E">
                <w:rPr>
                  <w:rStyle w:val="Hyperlink"/>
                </w:rPr>
                <w:t>The Hazardous Waste (Wales) Regulations 2005</w:t>
              </w:r>
            </w:hyperlink>
            <w:r w:rsidR="005611EF" w:rsidRPr="008B226E">
              <w:t xml:space="preserve"> </w:t>
            </w:r>
          </w:p>
        </w:tc>
      </w:tr>
      <w:tr w:rsidR="005611EF" w:rsidRPr="008B226E" w:rsidTr="008B226E">
        <w:tc>
          <w:tcPr>
            <w:tcW w:w="934" w:type="pct"/>
          </w:tcPr>
          <w:p w:rsidR="005611EF" w:rsidRPr="008B226E" w:rsidRDefault="005611EF" w:rsidP="008B226E">
            <w:r w:rsidRPr="008B226E">
              <w:t>32,37</w:t>
            </w:r>
          </w:p>
        </w:tc>
        <w:tc>
          <w:tcPr>
            <w:tcW w:w="4066" w:type="pct"/>
          </w:tcPr>
          <w:p w:rsidR="005611EF" w:rsidRPr="008B226E" w:rsidRDefault="00B707B0" w:rsidP="008B226E">
            <w:hyperlink r:id="rId29" w:history="1">
              <w:r w:rsidR="005611EF" w:rsidRPr="008B226E">
                <w:rPr>
                  <w:rStyle w:val="Hyperlink"/>
                </w:rPr>
                <w:t>Department for Communities and Local Government (2009) Understanding permeable and impermeable surfaces.</w:t>
              </w:r>
            </w:hyperlink>
            <w:r w:rsidR="005611EF" w:rsidRPr="008B226E">
              <w:rPr>
                <w:color w:val="7030A0"/>
              </w:rPr>
              <w:t xml:space="preserve"> </w:t>
            </w:r>
          </w:p>
        </w:tc>
      </w:tr>
      <w:tr w:rsidR="005611EF" w:rsidRPr="008B226E" w:rsidTr="008B226E">
        <w:tc>
          <w:tcPr>
            <w:tcW w:w="934" w:type="pct"/>
          </w:tcPr>
          <w:p w:rsidR="005611EF" w:rsidRPr="008B226E" w:rsidRDefault="005611EF" w:rsidP="008B226E">
            <w:r w:rsidRPr="008B226E">
              <w:t>32</w:t>
            </w:r>
          </w:p>
        </w:tc>
        <w:tc>
          <w:tcPr>
            <w:tcW w:w="4066" w:type="pct"/>
          </w:tcPr>
          <w:p w:rsidR="005611EF" w:rsidRPr="008B226E" w:rsidRDefault="00B707B0" w:rsidP="008B226E">
            <w:pPr>
              <w:rPr>
                <w:color w:val="943634" w:themeColor="accent2" w:themeShade="BF"/>
              </w:rPr>
            </w:pPr>
            <w:hyperlink r:id="rId30" w:history="1">
              <w:r w:rsidR="005611EF" w:rsidRPr="008B226E">
                <w:rPr>
                  <w:rStyle w:val="Hyperlink"/>
                </w:rPr>
                <w:t>Natural Resources Wales (2019) Protecting groundwater</w:t>
              </w:r>
            </w:hyperlink>
          </w:p>
        </w:tc>
      </w:tr>
      <w:tr w:rsidR="005611EF" w:rsidRPr="008B226E" w:rsidTr="008B226E">
        <w:tc>
          <w:tcPr>
            <w:tcW w:w="934" w:type="pct"/>
          </w:tcPr>
          <w:p w:rsidR="005611EF" w:rsidRPr="008B226E" w:rsidRDefault="005611EF" w:rsidP="008B226E">
            <w:r w:rsidRPr="008B226E">
              <w:t>32</w:t>
            </w:r>
          </w:p>
        </w:tc>
        <w:tc>
          <w:tcPr>
            <w:tcW w:w="4066" w:type="pct"/>
          </w:tcPr>
          <w:p w:rsidR="005611EF" w:rsidRPr="008B226E" w:rsidRDefault="00B707B0" w:rsidP="008B226E">
            <w:hyperlink r:id="rId31" w:history="1">
              <w:r w:rsidR="005611EF" w:rsidRPr="008B226E">
                <w:rPr>
                  <w:rStyle w:val="Hyperlink"/>
                </w:rPr>
                <w:t>Environment Agency (2018) Control and monitor emissions for your environment permit</w:t>
              </w:r>
            </w:hyperlink>
            <w:r w:rsidR="005611EF" w:rsidRPr="008B226E">
              <w:t xml:space="preserve"> </w:t>
            </w:r>
          </w:p>
        </w:tc>
      </w:tr>
      <w:tr w:rsidR="005611EF" w:rsidRPr="008B226E" w:rsidTr="008B226E">
        <w:tc>
          <w:tcPr>
            <w:tcW w:w="934" w:type="pct"/>
          </w:tcPr>
          <w:p w:rsidR="005611EF" w:rsidRPr="008B226E" w:rsidRDefault="005611EF" w:rsidP="008B226E">
            <w:r w:rsidRPr="008B226E">
              <w:t>33</w:t>
            </w:r>
          </w:p>
        </w:tc>
        <w:tc>
          <w:tcPr>
            <w:tcW w:w="4066" w:type="pct"/>
          </w:tcPr>
          <w:p w:rsidR="005611EF" w:rsidRPr="008B226E" w:rsidRDefault="00B707B0" w:rsidP="008B226E">
            <w:hyperlink r:id="rId32" w:history="1">
              <w:r w:rsidR="005611EF" w:rsidRPr="008B226E">
                <w:rPr>
                  <w:rStyle w:val="Hyperlink"/>
                </w:rPr>
                <w:t>Environment Agency (2011) Above Ground Oil Storage Tanks: PPG 2</w:t>
              </w:r>
            </w:hyperlink>
          </w:p>
        </w:tc>
      </w:tr>
      <w:tr w:rsidR="005611EF" w:rsidRPr="008B226E" w:rsidTr="008B226E">
        <w:tc>
          <w:tcPr>
            <w:tcW w:w="934" w:type="pct"/>
            <w:tcBorders>
              <w:bottom w:val="single" w:sz="4" w:space="0" w:color="auto"/>
            </w:tcBorders>
          </w:tcPr>
          <w:p w:rsidR="005611EF" w:rsidRPr="008B226E" w:rsidRDefault="005611EF" w:rsidP="008B226E">
            <w:r w:rsidRPr="008B226E">
              <w:t>34</w:t>
            </w:r>
          </w:p>
        </w:tc>
        <w:tc>
          <w:tcPr>
            <w:tcW w:w="4066" w:type="pct"/>
            <w:tcBorders>
              <w:bottom w:val="single" w:sz="4" w:space="0" w:color="auto"/>
            </w:tcBorders>
          </w:tcPr>
          <w:p w:rsidR="005611EF" w:rsidRPr="008B226E" w:rsidRDefault="00B707B0" w:rsidP="008B226E">
            <w:hyperlink r:id="rId33" w:history="1">
              <w:r w:rsidR="005611EF" w:rsidRPr="008B226E">
                <w:rPr>
                  <w:rStyle w:val="Hyperlink"/>
                </w:rPr>
                <w:t>Environment Agency (2014) Hazardous waste: segregation and mixing.</w:t>
              </w:r>
            </w:hyperlink>
            <w:r w:rsidR="005611EF" w:rsidRPr="008B226E">
              <w:rPr>
                <w:color w:val="7030A0"/>
              </w:rPr>
              <w:t xml:space="preserve"> </w:t>
            </w:r>
          </w:p>
        </w:tc>
      </w:tr>
      <w:tr w:rsidR="005611EF" w:rsidRPr="008B226E" w:rsidTr="008B226E">
        <w:tc>
          <w:tcPr>
            <w:tcW w:w="934" w:type="pct"/>
            <w:tcBorders>
              <w:bottom w:val="single" w:sz="4" w:space="0" w:color="auto"/>
            </w:tcBorders>
          </w:tcPr>
          <w:p w:rsidR="005611EF" w:rsidRPr="008B226E" w:rsidRDefault="005611EF" w:rsidP="008B226E">
            <w:r w:rsidRPr="008B226E">
              <w:t>34</w:t>
            </w:r>
          </w:p>
        </w:tc>
        <w:tc>
          <w:tcPr>
            <w:tcW w:w="4066" w:type="pct"/>
            <w:tcBorders>
              <w:bottom w:val="single" w:sz="4" w:space="0" w:color="auto"/>
            </w:tcBorders>
          </w:tcPr>
          <w:p w:rsidR="008B226E" w:rsidRPr="008B226E" w:rsidRDefault="00B707B0" w:rsidP="008B226E">
            <w:pPr>
              <w:rPr>
                <w:color w:val="7030A0"/>
              </w:rPr>
            </w:pPr>
            <w:hyperlink r:id="rId34" w:history="1">
              <w:r w:rsidR="005611EF" w:rsidRPr="008B226E">
                <w:rPr>
                  <w:rStyle w:val="Hyperlink"/>
                </w:rPr>
                <w:t>Health and Safety (2019) Regulatory environment</w:t>
              </w:r>
            </w:hyperlink>
            <w:r w:rsidR="005611EF" w:rsidRPr="008B226E">
              <w:rPr>
                <w:color w:val="7030A0"/>
              </w:rPr>
              <w:t xml:space="preserve"> </w:t>
            </w:r>
          </w:p>
        </w:tc>
      </w:tr>
      <w:tr w:rsidR="005611EF" w:rsidRPr="008B226E" w:rsidTr="008B226E">
        <w:tc>
          <w:tcPr>
            <w:tcW w:w="934" w:type="pct"/>
            <w:tcBorders>
              <w:top w:val="single" w:sz="4" w:space="0" w:color="auto"/>
            </w:tcBorders>
          </w:tcPr>
          <w:p w:rsidR="005611EF" w:rsidRPr="008B226E" w:rsidRDefault="005611EF" w:rsidP="008B226E">
            <w:r w:rsidRPr="008B226E">
              <w:t>36,41</w:t>
            </w:r>
          </w:p>
        </w:tc>
        <w:tc>
          <w:tcPr>
            <w:tcW w:w="4066" w:type="pct"/>
            <w:tcBorders>
              <w:top w:val="single" w:sz="4" w:space="0" w:color="auto"/>
            </w:tcBorders>
          </w:tcPr>
          <w:p w:rsidR="005611EF" w:rsidRPr="008B226E" w:rsidRDefault="00B707B0" w:rsidP="008B226E">
            <w:hyperlink r:id="rId35" w:history="1">
              <w:r w:rsidR="005611EF" w:rsidRPr="008B226E">
                <w:rPr>
                  <w:rStyle w:val="Hyperlink"/>
                </w:rPr>
                <w:t xml:space="preserve">WISH (2014) Reducing fire </w:t>
              </w:r>
              <w:r w:rsidR="008B226E" w:rsidRPr="008B226E">
                <w:rPr>
                  <w:rStyle w:val="Hyperlink"/>
                </w:rPr>
                <w:t>risk at waste management sites</w:t>
              </w:r>
            </w:hyperlink>
          </w:p>
        </w:tc>
      </w:tr>
      <w:tr w:rsidR="005611EF" w:rsidRPr="008B226E" w:rsidTr="008B226E">
        <w:tc>
          <w:tcPr>
            <w:tcW w:w="934" w:type="pct"/>
          </w:tcPr>
          <w:p w:rsidR="005611EF" w:rsidRPr="008B226E" w:rsidRDefault="005611EF" w:rsidP="008B226E">
            <w:r w:rsidRPr="008B226E">
              <w:t>40</w:t>
            </w:r>
          </w:p>
        </w:tc>
        <w:tc>
          <w:tcPr>
            <w:tcW w:w="4066" w:type="pct"/>
          </w:tcPr>
          <w:p w:rsidR="005611EF" w:rsidRPr="008B226E" w:rsidRDefault="00B707B0" w:rsidP="008B226E">
            <w:pPr>
              <w:rPr>
                <w:color w:val="943634" w:themeColor="accent2" w:themeShade="BF"/>
              </w:rPr>
            </w:pPr>
            <w:hyperlink r:id="rId36" w:history="1">
              <w:r w:rsidR="005611EF" w:rsidRPr="008B226E">
                <w:rPr>
                  <w:rStyle w:val="Hyperlink"/>
                </w:rPr>
                <w:t>Health and Safety Executi</w:t>
              </w:r>
              <w:r w:rsidR="008B226E" w:rsidRPr="008B226E">
                <w:rPr>
                  <w:rStyle w:val="Hyperlink"/>
                </w:rPr>
                <w:t>ve (2009) Chemical warehousing</w:t>
              </w:r>
            </w:hyperlink>
          </w:p>
        </w:tc>
      </w:tr>
      <w:tr w:rsidR="005611EF" w:rsidRPr="008B226E" w:rsidTr="008B226E">
        <w:tc>
          <w:tcPr>
            <w:tcW w:w="934" w:type="pct"/>
          </w:tcPr>
          <w:p w:rsidR="005611EF" w:rsidRPr="008B226E" w:rsidRDefault="005611EF" w:rsidP="008B226E">
            <w:r w:rsidRPr="008B226E">
              <w:t>40</w:t>
            </w:r>
          </w:p>
        </w:tc>
        <w:tc>
          <w:tcPr>
            <w:tcW w:w="4066" w:type="pct"/>
          </w:tcPr>
          <w:p w:rsidR="005611EF" w:rsidRPr="008B226E" w:rsidRDefault="00B707B0" w:rsidP="008B226E">
            <w:pPr>
              <w:rPr>
                <w:color w:val="943634" w:themeColor="accent2" w:themeShade="BF"/>
              </w:rPr>
            </w:pPr>
            <w:hyperlink r:id="rId37" w:history="1">
              <w:r w:rsidR="005611EF" w:rsidRPr="008B226E">
                <w:rPr>
                  <w:rStyle w:val="Hyperlink"/>
                </w:rPr>
                <w:t>Environment Agency (2013) Review of incidents at hazardo</w:t>
              </w:r>
              <w:r w:rsidR="008B226E" w:rsidRPr="008B226E">
                <w:rPr>
                  <w:rStyle w:val="Hyperlink"/>
                </w:rPr>
                <w:t>us waste management facilities</w:t>
              </w:r>
            </w:hyperlink>
          </w:p>
        </w:tc>
      </w:tr>
      <w:tr w:rsidR="005611EF" w:rsidRPr="008B226E" w:rsidTr="008B226E">
        <w:tc>
          <w:tcPr>
            <w:tcW w:w="934" w:type="pct"/>
          </w:tcPr>
          <w:p w:rsidR="005611EF" w:rsidRPr="008B226E" w:rsidRDefault="005611EF" w:rsidP="008B226E">
            <w:r w:rsidRPr="008B226E">
              <w:t>45,46</w:t>
            </w:r>
          </w:p>
        </w:tc>
        <w:tc>
          <w:tcPr>
            <w:tcW w:w="4066" w:type="pct"/>
          </w:tcPr>
          <w:p w:rsidR="005611EF" w:rsidRPr="008B226E" w:rsidRDefault="00B707B0" w:rsidP="008B226E">
            <w:hyperlink r:id="rId38" w:history="1">
              <w:r w:rsidR="005611EF" w:rsidRPr="008B226E">
                <w:rPr>
                  <w:rStyle w:val="Hyperlink"/>
                </w:rPr>
                <w:t>Health and Safety Executive (2012) He</w:t>
              </w:r>
              <w:r w:rsidR="008B226E" w:rsidRPr="008B226E">
                <w:rPr>
                  <w:rStyle w:val="Hyperlink"/>
                </w:rPr>
                <w:t>alth and safety training</w:t>
              </w:r>
            </w:hyperlink>
          </w:p>
        </w:tc>
      </w:tr>
      <w:tr w:rsidR="005611EF" w:rsidRPr="008B226E" w:rsidTr="008B226E">
        <w:tc>
          <w:tcPr>
            <w:tcW w:w="934" w:type="pct"/>
          </w:tcPr>
          <w:p w:rsidR="005611EF" w:rsidRPr="008B226E" w:rsidRDefault="005611EF" w:rsidP="008B226E">
            <w:r w:rsidRPr="008B226E">
              <w:t>46</w:t>
            </w:r>
          </w:p>
        </w:tc>
        <w:tc>
          <w:tcPr>
            <w:tcW w:w="4066" w:type="pct"/>
          </w:tcPr>
          <w:p w:rsidR="005611EF" w:rsidRPr="008B226E" w:rsidRDefault="00B707B0" w:rsidP="008B226E">
            <w:pPr>
              <w:rPr>
                <w:color w:val="7030A0"/>
              </w:rPr>
            </w:pPr>
            <w:hyperlink r:id="rId39" w:history="1">
              <w:r w:rsidR="005611EF" w:rsidRPr="008B226E">
                <w:rPr>
                  <w:rStyle w:val="Hyperlink"/>
                </w:rPr>
                <w:t xml:space="preserve">Health and Safety Executive (2013) Health and safety training in </w:t>
              </w:r>
              <w:r w:rsidR="008B226E" w:rsidRPr="008B226E">
                <w:rPr>
                  <w:rStyle w:val="Hyperlink"/>
                </w:rPr>
                <w:t>waste management and recycling</w:t>
              </w:r>
            </w:hyperlink>
          </w:p>
        </w:tc>
      </w:tr>
      <w:tr w:rsidR="005611EF" w:rsidRPr="008B226E" w:rsidTr="008B226E">
        <w:tc>
          <w:tcPr>
            <w:tcW w:w="934" w:type="pct"/>
          </w:tcPr>
          <w:p w:rsidR="005611EF" w:rsidRPr="008B226E" w:rsidRDefault="005611EF" w:rsidP="008B226E">
            <w:r w:rsidRPr="008B226E">
              <w:t>47</w:t>
            </w:r>
          </w:p>
        </w:tc>
        <w:tc>
          <w:tcPr>
            <w:tcW w:w="4066" w:type="pct"/>
          </w:tcPr>
          <w:p w:rsidR="005611EF" w:rsidRPr="008B226E" w:rsidRDefault="00B707B0" w:rsidP="008B226E">
            <w:hyperlink r:id="rId40" w:history="1">
              <w:r w:rsidR="005611EF" w:rsidRPr="008B226E">
                <w:rPr>
                  <w:rStyle w:val="Hyperlink"/>
                </w:rPr>
                <w:t>Health and Safety Executive (2014) Health and hazardous sub</w:t>
              </w:r>
              <w:r w:rsidR="008B226E" w:rsidRPr="008B226E">
                <w:rPr>
                  <w:rStyle w:val="Hyperlink"/>
                </w:rPr>
                <w:t>stances in waste and recycling</w:t>
              </w:r>
            </w:hyperlink>
          </w:p>
        </w:tc>
      </w:tr>
    </w:tbl>
    <w:p w:rsidR="00A674E5" w:rsidRDefault="00DA1EC2" w:rsidP="00C02BF3">
      <w:pPr>
        <w:spacing w:before="240"/>
        <w:rPr>
          <w:i/>
        </w:rPr>
      </w:pPr>
      <w:r w:rsidRPr="00B12DC4">
        <w:rPr>
          <w:noProof/>
          <w:lang w:eastAsia="en-GB"/>
        </w:rPr>
        <w:drawing>
          <wp:anchor distT="0" distB="0" distL="114300" distR="114300" simplePos="0" relativeHeight="251661312" behindDoc="0" locked="0" layoutInCell="1" allowOverlap="1" wp14:anchorId="30CC711E" wp14:editId="2E1C64B1">
            <wp:simplePos x="0" y="0"/>
            <wp:positionH relativeFrom="column">
              <wp:posOffset>453390</wp:posOffset>
            </wp:positionH>
            <wp:positionV relativeFrom="paragraph">
              <wp:posOffset>962660</wp:posOffset>
            </wp:positionV>
            <wp:extent cx="2421890" cy="1612900"/>
            <wp:effectExtent l="304800" t="285750" r="359410" b="292100"/>
            <wp:wrapNone/>
            <wp:docPr id="5" name="Picture 1" descr="iStock_00003414398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34143984Large.jpg"/>
                    <pic:cNvPicPr/>
                  </pic:nvPicPr>
                  <pic:blipFill>
                    <a:blip r:embed="rId41" cstate="print"/>
                    <a:stretch>
                      <a:fillRect/>
                    </a:stretch>
                  </pic:blipFill>
                  <pic:spPr>
                    <a:xfrm>
                      <a:off x="0" y="0"/>
                      <a:ext cx="2421890" cy="16129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C02BF3" w:rsidRPr="00C02BF3">
        <w:rPr>
          <w:b/>
          <w:i/>
        </w:rPr>
        <w:t>Please note:</w:t>
      </w:r>
      <w:r w:rsidR="00C02BF3" w:rsidRPr="00C02BF3">
        <w:rPr>
          <w:i/>
        </w:rPr>
        <w:t xml:space="preserve"> this information was correct at the time of publishing. If you find these links are broken, type the document title into a search engine</w:t>
      </w:r>
      <w:r w:rsidR="00C02BF3">
        <w:rPr>
          <w:i/>
        </w:rPr>
        <w:t>.</w:t>
      </w:r>
    </w:p>
    <w:p w:rsidR="00A6136C" w:rsidRDefault="00A6136C" w:rsidP="00A6136C">
      <w:pPr>
        <w:spacing w:before="240" w:after="0"/>
        <w:rPr>
          <w:i/>
        </w:rPr>
      </w:pPr>
    </w:p>
    <w:p w:rsidR="008B226E" w:rsidRDefault="008B226E" w:rsidP="00A6136C">
      <w:pPr>
        <w:spacing w:before="240" w:after="0"/>
        <w:rPr>
          <w:i/>
        </w:rPr>
      </w:pPr>
    </w:p>
    <w:p w:rsidR="008B226E" w:rsidRDefault="008B226E" w:rsidP="00A6136C">
      <w:pPr>
        <w:spacing w:before="240" w:after="0"/>
        <w:rPr>
          <w:i/>
        </w:rPr>
      </w:pPr>
    </w:p>
    <w:p w:rsidR="008B226E" w:rsidRDefault="008B226E" w:rsidP="00A6136C">
      <w:pPr>
        <w:spacing w:before="240" w:after="0"/>
        <w:rPr>
          <w:i/>
        </w:rPr>
      </w:pPr>
    </w:p>
    <w:p w:rsidR="008B226E" w:rsidRDefault="008B226E" w:rsidP="00A6136C">
      <w:pPr>
        <w:spacing w:before="240" w:after="0"/>
        <w:rPr>
          <w:i/>
        </w:rPr>
      </w:pPr>
    </w:p>
    <w:p w:rsidR="008B226E" w:rsidRDefault="008B226E" w:rsidP="00A6136C">
      <w:pPr>
        <w:spacing w:before="240"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r w:rsidR="00A352DD" w:rsidRPr="00A352DD">
        <w:rPr>
          <w:noProof/>
          <w:lang w:eastAsia="en-GB"/>
        </w:rPr>
        <w:t xml:space="preserve"> </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42"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EF" w:rsidRDefault="005611EF" w:rsidP="00033393">
      <w:pPr>
        <w:spacing w:after="0" w:line="240" w:lineRule="auto"/>
      </w:pPr>
      <w:r>
        <w:separator/>
      </w:r>
    </w:p>
  </w:endnote>
  <w:endnote w:type="continuationSeparator" w:id="0">
    <w:p w:rsidR="005611EF" w:rsidRDefault="005611EF"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5611EF" w:rsidRDefault="005611EF" w:rsidP="00FB3587">
            <w:pPr>
              <w:spacing w:after="0"/>
            </w:pPr>
            <w:r>
              <w:rPr>
                <w:noProof/>
                <w:lang w:eastAsia="en-GB"/>
              </w:rPr>
              <mc:AlternateContent>
                <mc:Choice Requires="wps">
                  <w:drawing>
                    <wp:anchor distT="0" distB="0" distL="114300" distR="114300" simplePos="0" relativeHeight="251661312" behindDoc="0" locked="0" layoutInCell="1" allowOverlap="1" wp14:anchorId="00ECD446" wp14:editId="18983056">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B707B0">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B707B0">
                          <w:rPr>
                            <w:b/>
                            <w:noProof/>
                          </w:rPr>
                          <w:t>4</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EF" w:rsidRDefault="005611EF" w:rsidP="00033393">
      <w:pPr>
        <w:spacing w:after="0" w:line="240" w:lineRule="auto"/>
      </w:pPr>
      <w:r>
        <w:separator/>
      </w:r>
    </w:p>
  </w:footnote>
  <w:footnote w:type="continuationSeparator" w:id="0">
    <w:p w:rsidR="005611EF" w:rsidRDefault="005611EF"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EF" w:rsidRPr="00033393" w:rsidRDefault="005611EF">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781ACC26" wp14:editId="3716CE15">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5441D"/>
    <w:multiLevelType w:val="hybridMultilevel"/>
    <w:tmpl w:val="82E89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556C2D"/>
    <w:multiLevelType w:val="hybridMultilevel"/>
    <w:tmpl w:val="953C9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8952D1"/>
    <w:multiLevelType w:val="hybridMultilevel"/>
    <w:tmpl w:val="C9B00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F219C0"/>
    <w:multiLevelType w:val="hybridMultilevel"/>
    <w:tmpl w:val="2028F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9921E4"/>
    <w:multiLevelType w:val="hybridMultilevel"/>
    <w:tmpl w:val="A148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CC5E45"/>
    <w:multiLevelType w:val="hybridMultilevel"/>
    <w:tmpl w:val="304C5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203F62"/>
    <w:multiLevelType w:val="hybridMultilevel"/>
    <w:tmpl w:val="8F66D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262254"/>
    <w:multiLevelType w:val="hybridMultilevel"/>
    <w:tmpl w:val="35509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B57FD9"/>
    <w:multiLevelType w:val="hybridMultilevel"/>
    <w:tmpl w:val="D78495FE"/>
    <w:lvl w:ilvl="0" w:tplc="08090001">
      <w:start w:val="1"/>
      <w:numFmt w:val="bullet"/>
      <w:lvlText w:val=""/>
      <w:lvlJc w:val="left"/>
      <w:pPr>
        <w:ind w:left="360" w:hanging="360"/>
      </w:pPr>
      <w:rPr>
        <w:rFonts w:ascii="Symbol" w:hAnsi="Symbol" w:hint="default"/>
      </w:rPr>
    </w:lvl>
    <w:lvl w:ilvl="1" w:tplc="96D867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877072"/>
    <w:multiLevelType w:val="hybridMultilevel"/>
    <w:tmpl w:val="4BE2A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00A3B2C"/>
    <w:multiLevelType w:val="hybridMultilevel"/>
    <w:tmpl w:val="9D4CE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2E5733"/>
    <w:multiLevelType w:val="hybridMultilevel"/>
    <w:tmpl w:val="05EA5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980009"/>
    <w:multiLevelType w:val="hybridMultilevel"/>
    <w:tmpl w:val="24CC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DB628AB"/>
    <w:multiLevelType w:val="hybridMultilevel"/>
    <w:tmpl w:val="A754C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47E68E5"/>
    <w:multiLevelType w:val="hybridMultilevel"/>
    <w:tmpl w:val="8C7E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FDD087A"/>
    <w:multiLevelType w:val="hybridMultilevel"/>
    <w:tmpl w:val="D362E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29"/>
  </w:num>
  <w:num w:numId="4">
    <w:abstractNumId w:val="18"/>
  </w:num>
  <w:num w:numId="5">
    <w:abstractNumId w:val="2"/>
  </w:num>
  <w:num w:numId="6">
    <w:abstractNumId w:val="16"/>
  </w:num>
  <w:num w:numId="7">
    <w:abstractNumId w:val="28"/>
  </w:num>
  <w:num w:numId="8">
    <w:abstractNumId w:val="9"/>
  </w:num>
  <w:num w:numId="9">
    <w:abstractNumId w:val="0"/>
  </w:num>
  <w:num w:numId="10">
    <w:abstractNumId w:val="4"/>
  </w:num>
  <w:num w:numId="11">
    <w:abstractNumId w:val="6"/>
  </w:num>
  <w:num w:numId="12">
    <w:abstractNumId w:val="5"/>
  </w:num>
  <w:num w:numId="13">
    <w:abstractNumId w:val="20"/>
  </w:num>
  <w:num w:numId="14">
    <w:abstractNumId w:val="19"/>
  </w:num>
  <w:num w:numId="15">
    <w:abstractNumId w:val="31"/>
  </w:num>
  <w:num w:numId="16">
    <w:abstractNumId w:val="13"/>
  </w:num>
  <w:num w:numId="17">
    <w:abstractNumId w:val="8"/>
  </w:num>
  <w:num w:numId="18">
    <w:abstractNumId w:val="30"/>
  </w:num>
  <w:num w:numId="19">
    <w:abstractNumId w:val="7"/>
  </w:num>
  <w:num w:numId="20">
    <w:abstractNumId w:val="14"/>
  </w:num>
  <w:num w:numId="21">
    <w:abstractNumId w:val="22"/>
  </w:num>
  <w:num w:numId="22">
    <w:abstractNumId w:val="24"/>
  </w:num>
  <w:num w:numId="23">
    <w:abstractNumId w:val="23"/>
  </w:num>
  <w:num w:numId="24">
    <w:abstractNumId w:val="21"/>
  </w:num>
  <w:num w:numId="25">
    <w:abstractNumId w:val="15"/>
  </w:num>
  <w:num w:numId="26">
    <w:abstractNumId w:val="11"/>
  </w:num>
  <w:num w:numId="27">
    <w:abstractNumId w:val="32"/>
  </w:num>
  <w:num w:numId="28">
    <w:abstractNumId w:val="3"/>
  </w:num>
  <w:num w:numId="29">
    <w:abstractNumId w:val="25"/>
  </w:num>
  <w:num w:numId="30">
    <w:abstractNumId w:val="1"/>
  </w:num>
  <w:num w:numId="31">
    <w:abstractNumId w:val="10"/>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114D8"/>
    <w:rsid w:val="000218C2"/>
    <w:rsid w:val="0002797C"/>
    <w:rsid w:val="00033393"/>
    <w:rsid w:val="000725CE"/>
    <w:rsid w:val="000C3A3D"/>
    <w:rsid w:val="00183870"/>
    <w:rsid w:val="00212E7A"/>
    <w:rsid w:val="00286918"/>
    <w:rsid w:val="00327D79"/>
    <w:rsid w:val="003321AB"/>
    <w:rsid w:val="003F6D66"/>
    <w:rsid w:val="00440CA7"/>
    <w:rsid w:val="004A2E1D"/>
    <w:rsid w:val="005607D4"/>
    <w:rsid w:val="005611EF"/>
    <w:rsid w:val="00616296"/>
    <w:rsid w:val="0069215B"/>
    <w:rsid w:val="007975BB"/>
    <w:rsid w:val="007A593D"/>
    <w:rsid w:val="007B1DFD"/>
    <w:rsid w:val="007F566C"/>
    <w:rsid w:val="008A20CD"/>
    <w:rsid w:val="008A2290"/>
    <w:rsid w:val="008B1233"/>
    <w:rsid w:val="008B226E"/>
    <w:rsid w:val="00917404"/>
    <w:rsid w:val="009253D5"/>
    <w:rsid w:val="00950587"/>
    <w:rsid w:val="00964157"/>
    <w:rsid w:val="00972763"/>
    <w:rsid w:val="009976FE"/>
    <w:rsid w:val="009B5506"/>
    <w:rsid w:val="00A352DD"/>
    <w:rsid w:val="00A6136C"/>
    <w:rsid w:val="00A674E5"/>
    <w:rsid w:val="00A97B72"/>
    <w:rsid w:val="00AA6976"/>
    <w:rsid w:val="00AB5205"/>
    <w:rsid w:val="00AE4804"/>
    <w:rsid w:val="00B15D2A"/>
    <w:rsid w:val="00B707B0"/>
    <w:rsid w:val="00BE5446"/>
    <w:rsid w:val="00C02BF3"/>
    <w:rsid w:val="00C20806"/>
    <w:rsid w:val="00D41D63"/>
    <w:rsid w:val="00D90EA2"/>
    <w:rsid w:val="00DA1EC2"/>
    <w:rsid w:val="00DB0056"/>
    <w:rsid w:val="00DF5C11"/>
    <w:rsid w:val="00E14FF0"/>
    <w:rsid w:val="00E57C78"/>
    <w:rsid w:val="00E7595A"/>
    <w:rsid w:val="00E92B99"/>
    <w:rsid w:val="00E961A5"/>
    <w:rsid w:val="00F02619"/>
    <w:rsid w:val="00F029FD"/>
    <w:rsid w:val="00F0506F"/>
    <w:rsid w:val="00F9256E"/>
    <w:rsid w:val="00FA1E05"/>
    <w:rsid w:val="00FB3587"/>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waste-acceptance-at-landfills" TargetMode="External"/><Relationship Id="rId18" Type="http://schemas.openxmlformats.org/officeDocument/2006/relationships/hyperlink" Target="https://www.gov.uk/guidance/hazardous-waste-rejected-loads-supplementary-guidance" TargetMode="External"/><Relationship Id="rId26" Type="http://schemas.openxmlformats.org/officeDocument/2006/relationships/hyperlink" Target="https://www.gov.uk/government/uploads/system/uploads/attachment_data/file/496261/withdrawn_How_to_comply_-_LIT_7123.pdf" TargetMode="External"/><Relationship Id="rId39" Type="http://schemas.openxmlformats.org/officeDocument/2006/relationships/hyperlink" Target="http://www.hse.gov.uk/pubns/waste21.pdf" TargetMode="External"/><Relationship Id="rId3" Type="http://schemas.openxmlformats.org/officeDocument/2006/relationships/styles" Target="styles.xml"/><Relationship Id="rId21" Type="http://schemas.openxmlformats.org/officeDocument/2006/relationships/hyperlink" Target="https://naturalresources.wales/guidance-and-advice/environmental-topics/waste-management/hazardous-waste-returns-1/?lang=en" TargetMode="External"/><Relationship Id="rId34" Type="http://schemas.openxmlformats.org/officeDocument/2006/relationships/hyperlink" Target="http://www.hse.gov.uk/cdg/manual/regenvirnment.htm" TargetMode="External"/><Relationship Id="rId42" Type="http://schemas.openxmlformats.org/officeDocument/2006/relationships/hyperlink" Target="https://wamitab.org.uk/competence/continuing-competence/test-score-calculator/"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69403/pb13530-waste-hierarchy-guidance.pdf" TargetMode="External"/><Relationship Id="rId17" Type="http://schemas.openxmlformats.org/officeDocument/2006/relationships/hyperlink" Target="https://naturalresources.wales/guidance-and-advice/environmental-topics/waste-management/moving-hazardous-waste/?lang=en" TargetMode="External"/><Relationship Id="rId25" Type="http://schemas.openxmlformats.org/officeDocument/2006/relationships/hyperlink" Target="https://www.gov.uk/government/publications/waste-duty-of-care-code-of-practice" TargetMode="External"/><Relationship Id="rId33" Type="http://schemas.openxmlformats.org/officeDocument/2006/relationships/hyperlink" Target="https://www.gov.uk/guidance/hazardous-waste-segregation-and-mixing" TargetMode="External"/><Relationship Id="rId38" Type="http://schemas.openxmlformats.org/officeDocument/2006/relationships/hyperlink" Target="http://www.hse.gov.uk/pubns/indg345.pdf" TargetMode="External"/><Relationship Id="rId2" Type="http://schemas.openxmlformats.org/officeDocument/2006/relationships/numbering" Target="numbering.xml"/><Relationship Id="rId16" Type="http://schemas.openxmlformats.org/officeDocument/2006/relationships/hyperlink" Target="https://www.gov.uk/guidance/hazardous-waste-consignment-note-supplementary-guidance" TargetMode="External"/><Relationship Id="rId20" Type="http://schemas.openxmlformats.org/officeDocument/2006/relationships/hyperlink" Target="https://www.gov.uk/dispose-hazardous-waste/consignee-returns" TargetMode="External"/><Relationship Id="rId29" Type="http://schemas.openxmlformats.org/officeDocument/2006/relationships/hyperlink" Target="http://webarchive.nationalarchives.gov.uk/20120919132719/http:/www.communities.gov.uk/documents/planningandbuilding/pdf/permeablesufacesreport.pdf"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27077/LIT_10121.pdf" TargetMode="External"/><Relationship Id="rId24" Type="http://schemas.openxmlformats.org/officeDocument/2006/relationships/hyperlink" Target="https://www.gov.uk/government/publications/sector-guidance-note-s506-recovery-and-disposal-of-hazardous-and-non-hazardous-waste" TargetMode="External"/><Relationship Id="rId32" Type="http://schemas.openxmlformats.org/officeDocument/2006/relationships/hyperlink" Target="http://a0768b4a8a31e106d8b0-50dc802554eb38a24458b98ff72d550b.r19.cf3.rackcdn.com/pmho0811bucr-e-e.pdf" TargetMode="External"/><Relationship Id="rId37" Type="http://schemas.openxmlformats.org/officeDocument/2006/relationships/hyperlink" Target="https://www.gov.uk/government/publications/hazardous-waste-management-facilities-review-of-incidents" TargetMode="External"/><Relationship Id="rId40" Type="http://schemas.openxmlformats.org/officeDocument/2006/relationships/hyperlink" Target="http://www.hse.gov.uk/pubns/waste27.pdf" TargetMode="External"/><Relationship Id="rId5" Type="http://schemas.openxmlformats.org/officeDocument/2006/relationships/settings" Target="settings.xml"/><Relationship Id="rId15" Type="http://schemas.openxmlformats.org/officeDocument/2006/relationships/hyperlink" Target="https://cdn.naturalresources.wales/media/1216/understanding-the-landfill-directive-lfd-1.pdf?mode=pad&amp;rnd=131467659650000000" TargetMode="External"/><Relationship Id="rId23" Type="http://schemas.openxmlformats.org/officeDocument/2006/relationships/hyperlink" Target="https://www.gov.uk/guidance/develop-a-management-system-environmental-permits" TargetMode="External"/><Relationship Id="rId28" Type="http://schemas.openxmlformats.org/officeDocument/2006/relationships/hyperlink" Target="https://www.legislation.gov.uk/wsi/2005/1806/pdfs/wsi_20051806_mi.pdf" TargetMode="External"/><Relationship Id="rId36" Type="http://schemas.openxmlformats.org/officeDocument/2006/relationships/hyperlink" Target="http://www.hse.gov.uk/pubns/priced/hsg71.pdf" TargetMode="External"/><Relationship Id="rId10" Type="http://schemas.openxmlformats.org/officeDocument/2006/relationships/footer" Target="footer1.xml"/><Relationship Id="rId19" Type="http://schemas.openxmlformats.org/officeDocument/2006/relationships/hyperlink" Target="https://assets.publishing.service.gov.uk/government/uploads/system/uploads/attachment_data/file/299967/Hazardous_waste_-_example_Part_A_consignment_note_for_rejected_loads.pdf" TargetMode="External"/><Relationship Id="rId31" Type="http://schemas.openxmlformats.org/officeDocument/2006/relationships/hyperlink" Target="https://www.gov.uk/guidance/control-and-monitor-emissions-for-your-environmental-permi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naturalresources.wales/guidance-and-advice/environmental-topics/waste-management/how-to-classify-and-assess-waste/?lang=en" TargetMode="External"/><Relationship Id="rId22" Type="http://schemas.openxmlformats.org/officeDocument/2006/relationships/hyperlink" Target="https://cdn.naturalresources.wales/media/2110/how-to-comply-with-your-environmental-permit.pdf?mode=pad&amp;rnd=131467604540000000" TargetMode="External"/><Relationship Id="rId27" Type="http://schemas.openxmlformats.org/officeDocument/2006/relationships/hyperlink" Target="https://webarchive.nationalarchives.gov.uk/20140328090410/http:/cdn.environment-agency.gov.uk/geho0612bwph-e-e.pdf" TargetMode="External"/><Relationship Id="rId30" Type="http://schemas.openxmlformats.org/officeDocument/2006/relationships/hyperlink" Target="https://naturalresources.wales/guidance-and-advice/business-sectors/planning-and-development/advice-for-developers/protecting-groundwater/?lang=en" TargetMode="External"/><Relationship Id="rId35" Type="http://schemas.openxmlformats.org/officeDocument/2006/relationships/hyperlink" Target="http://ciwm.org.uk/web/FILES/WISH/WISH_WASTE_28_Reducing_fire_risk_at_waste_management_sites_2015.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8CFBAC-5C8E-410E-B573-18AF559C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2019-02-18T16:26:00Z</dcterms:created>
  <dcterms:modified xsi:type="dcterms:W3CDTF">2019-02-18T16:26:00Z</dcterms:modified>
</cp:coreProperties>
</file>